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37" w:rsidRPr="00CF1F0C" w:rsidRDefault="00DF2537" w:rsidP="00CA4884">
      <w:pPr>
        <w:autoSpaceDE w:val="0"/>
        <w:autoSpaceDN w:val="0"/>
        <w:adjustRightInd w:val="0"/>
        <w:spacing w:line="360" w:lineRule="auto"/>
        <w:ind w:left="0" w:firstLine="0"/>
        <w:rPr>
          <w:rFonts w:ascii="Times New Roman" w:hAnsi="Times New Roman" w:cs="Times New Roman"/>
          <w:b/>
          <w:sz w:val="20"/>
          <w:szCs w:val="20"/>
          <w:lang w:val="en-US"/>
        </w:rPr>
      </w:pPr>
      <w:r w:rsidRPr="00CF1F0C">
        <w:rPr>
          <w:rFonts w:ascii="Times New Roman" w:hAnsi="Times New Roman" w:cs="Times New Roman"/>
          <w:b/>
          <w:sz w:val="20"/>
          <w:szCs w:val="20"/>
          <w:lang w:val="en-US"/>
        </w:rPr>
        <w:t>Quality of public administration and human</w:t>
      </w:r>
      <w:r w:rsidR="00702B44" w:rsidRPr="00CF1F0C">
        <w:rPr>
          <w:rFonts w:ascii="Times New Roman" w:hAnsi="Times New Roman" w:cs="Times New Roman"/>
          <w:b/>
          <w:sz w:val="20"/>
          <w:szCs w:val="20"/>
          <w:lang w:val="en-US"/>
        </w:rPr>
        <w:t xml:space="preserve"> capital</w:t>
      </w:r>
      <w:r w:rsidRPr="00CF1F0C">
        <w:rPr>
          <w:rFonts w:ascii="Times New Roman" w:hAnsi="Times New Roman" w:cs="Times New Roman"/>
          <w:b/>
          <w:sz w:val="20"/>
          <w:szCs w:val="20"/>
          <w:lang w:val="en-US"/>
        </w:rPr>
        <w:t xml:space="preserve"> </w:t>
      </w:r>
    </w:p>
    <w:p w:rsidR="00DF2537" w:rsidRPr="00CF1F0C" w:rsidRDefault="0072519C" w:rsidP="00CA4884">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dr </w:t>
      </w:r>
      <w:r w:rsidR="00912916" w:rsidRPr="00CF1F0C">
        <w:rPr>
          <w:rFonts w:ascii="Times New Roman" w:hAnsi="Times New Roman" w:cs="Times New Roman"/>
          <w:sz w:val="20"/>
          <w:szCs w:val="20"/>
          <w:lang w:val="en-US"/>
        </w:rPr>
        <w:t>Grażyna Bukowska</w:t>
      </w:r>
      <w:r w:rsidRPr="00CF1F0C">
        <w:rPr>
          <w:rFonts w:ascii="Times New Roman" w:hAnsi="Times New Roman" w:cs="Times New Roman"/>
          <w:sz w:val="20"/>
          <w:szCs w:val="20"/>
          <w:lang w:val="en-US"/>
        </w:rPr>
        <w:t xml:space="preserve">, </w:t>
      </w:r>
      <w:r w:rsidR="00112876" w:rsidRPr="00CF1F0C">
        <w:rPr>
          <w:rFonts w:ascii="Times New Roman" w:hAnsi="Times New Roman" w:cs="Times New Roman"/>
          <w:lang w:val="en-US"/>
        </w:rPr>
        <w:t>Faculty of Economic Sciences, University of Warsaw, Poland</w:t>
      </w:r>
    </w:p>
    <w:p w:rsidR="00912916" w:rsidRPr="00CF1F0C" w:rsidRDefault="00912916" w:rsidP="00CA4884">
      <w:pPr>
        <w:autoSpaceDE w:val="0"/>
        <w:autoSpaceDN w:val="0"/>
        <w:adjustRightInd w:val="0"/>
        <w:spacing w:line="360" w:lineRule="auto"/>
        <w:ind w:left="0" w:firstLine="0"/>
        <w:rPr>
          <w:rFonts w:ascii="Times New Roman" w:hAnsi="Times New Roman" w:cs="Times New Roman"/>
          <w:sz w:val="20"/>
          <w:szCs w:val="20"/>
          <w:lang w:val="en-US"/>
        </w:rPr>
      </w:pPr>
    </w:p>
    <w:p w:rsidR="00702B44" w:rsidRPr="00CF1F0C" w:rsidRDefault="00702B44" w:rsidP="00CA4884">
      <w:pPr>
        <w:autoSpaceDE w:val="0"/>
        <w:autoSpaceDN w:val="0"/>
        <w:adjustRightInd w:val="0"/>
        <w:spacing w:line="360" w:lineRule="auto"/>
        <w:ind w:left="0" w:firstLine="0"/>
        <w:rPr>
          <w:rFonts w:ascii="Times New Roman" w:hAnsi="Times New Roman" w:cs="Times New Roman"/>
          <w:b/>
          <w:sz w:val="20"/>
          <w:szCs w:val="20"/>
          <w:lang w:val="en-US"/>
        </w:rPr>
      </w:pPr>
      <w:r w:rsidRPr="00CF1F0C">
        <w:rPr>
          <w:rFonts w:ascii="Times New Roman" w:hAnsi="Times New Roman" w:cs="Times New Roman"/>
          <w:b/>
          <w:sz w:val="20"/>
          <w:szCs w:val="20"/>
          <w:lang w:val="en-US"/>
        </w:rPr>
        <w:t>Abstra</w:t>
      </w:r>
      <w:r w:rsidR="00912916" w:rsidRPr="00CF1F0C">
        <w:rPr>
          <w:rFonts w:ascii="Times New Roman" w:hAnsi="Times New Roman" w:cs="Times New Roman"/>
          <w:b/>
          <w:sz w:val="20"/>
          <w:szCs w:val="20"/>
          <w:lang w:val="en-US"/>
        </w:rPr>
        <w:t>c</w:t>
      </w:r>
      <w:r w:rsidRPr="00CF1F0C">
        <w:rPr>
          <w:rFonts w:ascii="Times New Roman" w:hAnsi="Times New Roman" w:cs="Times New Roman"/>
          <w:b/>
          <w:sz w:val="20"/>
          <w:szCs w:val="20"/>
          <w:lang w:val="en-US"/>
        </w:rPr>
        <w:t>t</w:t>
      </w:r>
    </w:p>
    <w:p w:rsidR="00F0535A" w:rsidRPr="00CF1F0C" w:rsidRDefault="00E413A2" w:rsidP="00416F4E">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This paper explores, both formally and empirically, the mechanisms that lie behind the varying levels of effective public administration taking place across </w:t>
      </w:r>
      <w:r w:rsidR="00C23FAB" w:rsidRPr="00CF1F0C">
        <w:rPr>
          <w:rFonts w:ascii="Times New Roman" w:hAnsi="Times New Roman" w:cs="Times New Roman"/>
          <w:sz w:val="20"/>
          <w:szCs w:val="20"/>
          <w:lang w:val="en-US"/>
        </w:rPr>
        <w:t>nations and looks at how</w:t>
      </w:r>
      <w:r w:rsidR="0072519C" w:rsidRPr="00CF1F0C">
        <w:rPr>
          <w:rFonts w:ascii="Times New Roman" w:hAnsi="Times New Roman" w:cs="Times New Roman"/>
          <w:sz w:val="20"/>
          <w:szCs w:val="20"/>
          <w:lang w:val="en-US"/>
        </w:rPr>
        <w:t xml:space="preserve"> </w:t>
      </w:r>
      <w:r w:rsidR="00C23FAB" w:rsidRPr="00CF1F0C">
        <w:rPr>
          <w:rFonts w:ascii="Times New Roman" w:hAnsi="Times New Roman" w:cs="Times New Roman"/>
          <w:sz w:val="20"/>
          <w:szCs w:val="20"/>
          <w:lang w:val="en-US"/>
        </w:rPr>
        <w:t xml:space="preserve">education affects the quality of </w:t>
      </w:r>
      <w:r w:rsidR="0072519C" w:rsidRPr="00CF1F0C">
        <w:rPr>
          <w:rFonts w:ascii="Times New Roman" w:hAnsi="Times New Roman" w:cs="Times New Roman"/>
          <w:sz w:val="20"/>
          <w:szCs w:val="20"/>
          <w:lang w:val="en-US"/>
        </w:rPr>
        <w:t>bureaucracy</w:t>
      </w:r>
      <w:r w:rsidR="00C23FAB" w:rsidRPr="00CF1F0C">
        <w:rPr>
          <w:rFonts w:ascii="Times New Roman" w:hAnsi="Times New Roman" w:cs="Times New Roman"/>
          <w:sz w:val="20"/>
          <w:szCs w:val="20"/>
          <w:lang w:val="en-US"/>
        </w:rPr>
        <w:t>.</w:t>
      </w:r>
      <w:r w:rsidR="0072519C"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 xml:space="preserve">The first section develops </w:t>
      </w:r>
      <w:r w:rsidR="008A76B4" w:rsidRPr="00CF1F0C">
        <w:rPr>
          <w:rFonts w:ascii="Times New Roman" w:hAnsi="Times New Roman" w:cs="Times New Roman"/>
          <w:sz w:val="20"/>
          <w:szCs w:val="20"/>
          <w:lang w:val="en-US"/>
        </w:rPr>
        <w:t>theory</w:t>
      </w:r>
      <w:r w:rsidRPr="00CF1F0C">
        <w:rPr>
          <w:rFonts w:ascii="Times New Roman" w:hAnsi="Times New Roman" w:cs="Times New Roman"/>
          <w:sz w:val="20"/>
          <w:szCs w:val="20"/>
          <w:lang w:val="en-US"/>
        </w:rPr>
        <w:t xml:space="preserve"> in which good governance is a</w:t>
      </w:r>
      <w:r w:rsidR="00181C97"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 xml:space="preserve">function of the extent to which </w:t>
      </w:r>
      <w:r w:rsidR="008A76B4" w:rsidRPr="00CF1F0C">
        <w:rPr>
          <w:rFonts w:ascii="Times New Roman" w:hAnsi="Times New Roman" w:cs="Times New Roman"/>
          <w:sz w:val="20"/>
          <w:szCs w:val="20"/>
          <w:lang w:val="en-US"/>
        </w:rPr>
        <w:t xml:space="preserve">educated </w:t>
      </w:r>
      <w:r w:rsidRPr="00CF1F0C">
        <w:rPr>
          <w:rFonts w:ascii="Times New Roman" w:hAnsi="Times New Roman" w:cs="Times New Roman"/>
          <w:sz w:val="20"/>
          <w:szCs w:val="20"/>
          <w:lang w:val="en-US"/>
        </w:rPr>
        <w:t>citizens can hold officials accountable for their actions.</w:t>
      </w:r>
      <w:r w:rsidR="00181C97"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The presence of democratic mechanisms of control and an increasingly informed electorate, measured through the level of education,</w:t>
      </w:r>
      <w:r w:rsidR="008A76B4" w:rsidRPr="00CF1F0C">
        <w:rPr>
          <w:rFonts w:ascii="Times New Roman" w:hAnsi="Times New Roman" w:cs="Times New Roman"/>
          <w:sz w:val="20"/>
          <w:szCs w:val="20"/>
          <w:lang w:val="en-US"/>
        </w:rPr>
        <w:t xml:space="preserve"> may </w:t>
      </w:r>
      <w:r w:rsidRPr="00CF1F0C">
        <w:rPr>
          <w:rFonts w:ascii="Times New Roman" w:hAnsi="Times New Roman" w:cs="Times New Roman"/>
          <w:sz w:val="20"/>
          <w:szCs w:val="20"/>
          <w:lang w:val="en-US"/>
        </w:rPr>
        <w:t>explain the governmental</w:t>
      </w:r>
      <w:r w:rsidR="00BC6396"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 xml:space="preserve">effectiveness in </w:t>
      </w:r>
      <w:r w:rsidR="00D42DF2" w:rsidRPr="00CF1F0C">
        <w:rPr>
          <w:rFonts w:ascii="Times New Roman" w:hAnsi="Times New Roman" w:cs="Times New Roman"/>
          <w:sz w:val="20"/>
          <w:szCs w:val="20"/>
          <w:lang w:val="en-US"/>
        </w:rPr>
        <w:t>cross-</w:t>
      </w:r>
      <w:r w:rsidRPr="00CF1F0C">
        <w:rPr>
          <w:rFonts w:ascii="Times New Roman" w:hAnsi="Times New Roman" w:cs="Times New Roman"/>
          <w:sz w:val="20"/>
          <w:szCs w:val="20"/>
          <w:lang w:val="en-US"/>
        </w:rPr>
        <w:t xml:space="preserve">countries </w:t>
      </w:r>
      <w:r w:rsidR="00D42DF2" w:rsidRPr="00CF1F0C">
        <w:rPr>
          <w:rFonts w:ascii="Times New Roman" w:hAnsi="Times New Roman" w:cs="Times New Roman"/>
          <w:sz w:val="20"/>
          <w:szCs w:val="20"/>
          <w:lang w:val="en-US"/>
        </w:rPr>
        <w:t>regression</w:t>
      </w:r>
      <w:r w:rsidR="00181C97" w:rsidRPr="00CF1F0C">
        <w:rPr>
          <w:rFonts w:ascii="Times New Roman" w:hAnsi="Times New Roman" w:cs="Times New Roman"/>
          <w:sz w:val="20"/>
          <w:szCs w:val="20"/>
          <w:lang w:val="en-US"/>
        </w:rPr>
        <w:t xml:space="preserve">. </w:t>
      </w:r>
      <w:r w:rsidR="00F0535A" w:rsidRPr="00CF1F0C">
        <w:rPr>
          <w:rFonts w:ascii="Times New Roman" w:hAnsi="Times New Roman" w:cs="Times New Roman"/>
          <w:sz w:val="20"/>
          <w:szCs w:val="20"/>
          <w:lang w:val="en-US"/>
        </w:rPr>
        <w:t xml:space="preserve">This </w:t>
      </w:r>
      <w:r w:rsidR="00224502" w:rsidRPr="00CF1F0C">
        <w:rPr>
          <w:rFonts w:ascii="Times New Roman" w:hAnsi="Times New Roman" w:cs="Times New Roman"/>
          <w:sz w:val="20"/>
          <w:szCs w:val="20"/>
          <w:lang w:val="en-US"/>
        </w:rPr>
        <w:t>second hypothesis</w:t>
      </w:r>
      <w:r w:rsidR="00F0535A" w:rsidRPr="00CF1F0C">
        <w:rPr>
          <w:rFonts w:ascii="Times New Roman" w:hAnsi="Times New Roman" w:cs="Times New Roman"/>
          <w:sz w:val="20"/>
          <w:szCs w:val="20"/>
          <w:lang w:val="en-US"/>
        </w:rPr>
        <w:t xml:space="preserve"> tested </w:t>
      </w:r>
      <w:r w:rsidR="00224502" w:rsidRPr="00CF1F0C">
        <w:rPr>
          <w:rFonts w:ascii="Times New Roman" w:hAnsi="Times New Roman" w:cs="Times New Roman"/>
          <w:sz w:val="20"/>
          <w:szCs w:val="20"/>
          <w:lang w:val="en-US"/>
        </w:rPr>
        <w:t xml:space="preserve">also </w:t>
      </w:r>
      <w:r w:rsidR="00F0535A" w:rsidRPr="00CF1F0C">
        <w:rPr>
          <w:rFonts w:ascii="Times New Roman" w:hAnsi="Times New Roman" w:cs="Times New Roman"/>
          <w:sz w:val="20"/>
          <w:szCs w:val="20"/>
          <w:lang w:val="en-US"/>
        </w:rPr>
        <w:t>on a cross-national dataset of expert evaluations of bureaucratic structures</w:t>
      </w:r>
      <w:r w:rsidR="001039AD" w:rsidRPr="00CF1F0C">
        <w:rPr>
          <w:rFonts w:ascii="Times New Roman" w:hAnsi="Times New Roman" w:cs="Times New Roman"/>
          <w:sz w:val="20"/>
          <w:szCs w:val="20"/>
          <w:lang w:val="en-US"/>
        </w:rPr>
        <w:t>, the impact of</w:t>
      </w:r>
      <w:r w:rsidR="00224502" w:rsidRPr="00CF1F0C">
        <w:rPr>
          <w:rFonts w:ascii="Times New Roman" w:hAnsi="Times New Roman" w:cs="Times New Roman"/>
          <w:sz w:val="20"/>
          <w:szCs w:val="20"/>
          <w:lang w:val="en-US"/>
        </w:rPr>
        <w:t xml:space="preserve"> the recruitment of public servants</w:t>
      </w:r>
      <w:r w:rsidR="00F0535A" w:rsidRPr="00CF1F0C">
        <w:rPr>
          <w:rFonts w:ascii="Times New Roman" w:hAnsi="Times New Roman" w:cs="Times New Roman"/>
          <w:sz w:val="20"/>
          <w:szCs w:val="20"/>
          <w:lang w:val="en-US"/>
        </w:rPr>
        <w:t xml:space="preserve"> </w:t>
      </w:r>
      <w:r w:rsidR="001039AD" w:rsidRPr="00CF1F0C">
        <w:rPr>
          <w:rFonts w:ascii="Times New Roman" w:hAnsi="Times New Roman" w:cs="Times New Roman"/>
          <w:sz w:val="20"/>
          <w:szCs w:val="20"/>
          <w:lang w:val="en-US"/>
        </w:rPr>
        <w:t xml:space="preserve">on public administration quality. We looking at the quality of </w:t>
      </w:r>
      <w:r w:rsidR="005F2A84" w:rsidRPr="00CF1F0C">
        <w:rPr>
          <w:rFonts w:ascii="Times New Roman" w:hAnsi="Times New Roman" w:cs="Times New Roman"/>
          <w:sz w:val="20"/>
          <w:szCs w:val="20"/>
          <w:lang w:val="en-US"/>
        </w:rPr>
        <w:t>recruitment public servants</w:t>
      </w:r>
      <w:r w:rsidR="00416F4E" w:rsidRPr="00CF1F0C">
        <w:rPr>
          <w:rFonts w:ascii="Times New Roman" w:hAnsi="Times New Roman" w:cs="Times New Roman"/>
          <w:sz w:val="20"/>
          <w:szCs w:val="20"/>
          <w:lang w:val="en-US"/>
        </w:rPr>
        <w:t xml:space="preserve"> </w:t>
      </w:r>
      <w:r w:rsidR="005F2A84" w:rsidRPr="00CF1F0C">
        <w:rPr>
          <w:rFonts w:ascii="Times New Roman" w:hAnsi="Times New Roman" w:cs="Times New Roman"/>
          <w:sz w:val="20"/>
          <w:szCs w:val="20"/>
          <w:lang w:val="en-US"/>
        </w:rPr>
        <w:t>—</w:t>
      </w:r>
      <w:r w:rsidR="00416F4E" w:rsidRPr="00CF1F0C">
        <w:rPr>
          <w:rFonts w:ascii="Times New Roman" w:hAnsi="Times New Roman" w:cs="Times New Roman"/>
          <w:sz w:val="20"/>
          <w:szCs w:val="20"/>
          <w:lang w:val="en-US"/>
        </w:rPr>
        <w:t xml:space="preserve"> </w:t>
      </w:r>
      <w:r w:rsidR="005F2A84" w:rsidRPr="00CF1F0C">
        <w:rPr>
          <w:rFonts w:ascii="Times New Roman" w:hAnsi="Times New Roman" w:cs="Times New Roman"/>
          <w:sz w:val="20"/>
          <w:szCs w:val="20"/>
          <w:lang w:val="en-US"/>
        </w:rPr>
        <w:t>those offi</w:t>
      </w:r>
      <w:r w:rsidR="001039AD" w:rsidRPr="00CF1F0C">
        <w:rPr>
          <w:rFonts w:ascii="Times New Roman" w:hAnsi="Times New Roman" w:cs="Times New Roman"/>
          <w:sz w:val="20"/>
          <w:szCs w:val="20"/>
          <w:lang w:val="en-US"/>
        </w:rPr>
        <w:t xml:space="preserve">cials  who  influence  </w:t>
      </w:r>
      <w:r w:rsidR="005F2A84" w:rsidRPr="00CF1F0C">
        <w:rPr>
          <w:rFonts w:ascii="Times New Roman" w:hAnsi="Times New Roman" w:cs="Times New Roman"/>
          <w:sz w:val="20"/>
          <w:szCs w:val="20"/>
          <w:lang w:val="en-US"/>
        </w:rPr>
        <w:t>policy  design  and  implementa</w:t>
      </w:r>
      <w:r w:rsidR="00416F4E" w:rsidRPr="00CF1F0C">
        <w:rPr>
          <w:rFonts w:ascii="Times New Roman" w:hAnsi="Times New Roman" w:cs="Times New Roman"/>
          <w:sz w:val="20"/>
          <w:szCs w:val="20"/>
          <w:lang w:val="en-US"/>
        </w:rPr>
        <w:t>tion</w:t>
      </w:r>
      <w:r w:rsidR="001039AD" w:rsidRPr="00CF1F0C">
        <w:rPr>
          <w:rFonts w:ascii="Times New Roman" w:hAnsi="Times New Roman" w:cs="Times New Roman"/>
          <w:sz w:val="20"/>
          <w:szCs w:val="20"/>
          <w:lang w:val="en-US"/>
        </w:rPr>
        <w:t xml:space="preserve">.  </w:t>
      </w:r>
    </w:p>
    <w:p w:rsidR="00C23FAB" w:rsidRPr="00CF1F0C" w:rsidRDefault="00C53CD7" w:rsidP="00416F4E">
      <w:pPr>
        <w:autoSpaceDE w:val="0"/>
        <w:autoSpaceDN w:val="0"/>
        <w:adjustRightInd w:val="0"/>
        <w:spacing w:line="360" w:lineRule="auto"/>
        <w:ind w:left="0" w:firstLine="0"/>
        <w:jc w:val="both"/>
        <w:rPr>
          <w:rFonts w:ascii="Times New Roman" w:hAnsi="Times New Roman" w:cs="Times New Roman"/>
          <w:b/>
          <w:sz w:val="20"/>
          <w:szCs w:val="20"/>
          <w:lang w:val="en-US"/>
        </w:rPr>
      </w:pPr>
      <w:r w:rsidRPr="00CF1F0C">
        <w:rPr>
          <w:rFonts w:ascii="Times New Roman" w:hAnsi="Times New Roman" w:cs="Times New Roman"/>
          <w:sz w:val="20"/>
          <w:szCs w:val="20"/>
          <w:lang w:val="en-US"/>
        </w:rPr>
        <w:t>The aim of this study is therefore to focus on the relationship between level of education and quality</w:t>
      </w:r>
      <w:r w:rsidR="00416F4E"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of government</w:t>
      </w:r>
      <w:r w:rsidR="00416F4E" w:rsidRPr="00CF1F0C">
        <w:rPr>
          <w:rFonts w:ascii="Times New Roman" w:hAnsi="Times New Roman" w:cs="Times New Roman"/>
          <w:sz w:val="20"/>
          <w:szCs w:val="20"/>
          <w:lang w:val="en-US"/>
        </w:rPr>
        <w:t xml:space="preserve"> for 3</w:t>
      </w:r>
      <w:r w:rsidR="005F4954" w:rsidRPr="00CF1F0C">
        <w:rPr>
          <w:rFonts w:ascii="Times New Roman" w:hAnsi="Times New Roman" w:cs="Times New Roman"/>
          <w:sz w:val="20"/>
          <w:szCs w:val="20"/>
          <w:lang w:val="en-US"/>
        </w:rPr>
        <w:t>7</w:t>
      </w:r>
      <w:r w:rsidR="00416F4E" w:rsidRPr="00CF1F0C">
        <w:rPr>
          <w:rFonts w:ascii="Times New Roman" w:hAnsi="Times New Roman" w:cs="Times New Roman"/>
          <w:sz w:val="20"/>
          <w:szCs w:val="20"/>
          <w:lang w:val="en-US"/>
        </w:rPr>
        <w:t xml:space="preserve"> countries</w:t>
      </w:r>
      <w:r w:rsidR="005F2A84" w:rsidRPr="00CF1F0C">
        <w:rPr>
          <w:rFonts w:ascii="Times New Roman" w:hAnsi="Times New Roman" w:cs="Times New Roman"/>
          <w:sz w:val="20"/>
          <w:szCs w:val="20"/>
          <w:lang w:val="en-US"/>
        </w:rPr>
        <w:t>.</w:t>
      </w:r>
      <w:r w:rsidRPr="00CF1F0C">
        <w:rPr>
          <w:rFonts w:ascii="Times New Roman" w:hAnsi="Times New Roman" w:cs="Times New Roman"/>
          <w:sz w:val="20"/>
          <w:szCs w:val="20"/>
          <w:lang w:val="en-US"/>
        </w:rPr>
        <w:t xml:space="preserve"> </w:t>
      </w:r>
      <w:r w:rsidR="00980820" w:rsidRPr="00CF1F0C">
        <w:rPr>
          <w:rFonts w:ascii="Times New Roman" w:hAnsi="Times New Roman" w:cs="Times New Roman"/>
          <w:sz w:val="20"/>
          <w:szCs w:val="20"/>
          <w:lang w:val="en-US"/>
        </w:rPr>
        <w:t>We rely on c</w:t>
      </w:r>
      <w:r w:rsidR="00C23FAB" w:rsidRPr="00CF1F0C">
        <w:rPr>
          <w:rFonts w:ascii="Times New Roman" w:hAnsi="Times New Roman" w:cs="Times New Roman"/>
          <w:sz w:val="20"/>
          <w:szCs w:val="20"/>
          <w:lang w:val="en-US"/>
        </w:rPr>
        <w:t>ross-country data regressions</w:t>
      </w:r>
      <w:r w:rsidR="00980820" w:rsidRPr="00CF1F0C">
        <w:rPr>
          <w:rFonts w:ascii="Times New Roman" w:hAnsi="Times New Roman" w:cs="Times New Roman"/>
          <w:sz w:val="20"/>
          <w:szCs w:val="20"/>
          <w:lang w:val="en-US"/>
        </w:rPr>
        <w:t xml:space="preserve">. The </w:t>
      </w:r>
      <w:r w:rsidR="00181C97" w:rsidRPr="00CF1F0C">
        <w:rPr>
          <w:rFonts w:ascii="Times New Roman" w:hAnsi="Times New Roman" w:cs="Times New Roman"/>
          <w:sz w:val="20"/>
          <w:szCs w:val="20"/>
          <w:lang w:val="en-US"/>
        </w:rPr>
        <w:t>empirical research</w:t>
      </w:r>
      <w:r w:rsidR="00C23FAB" w:rsidRPr="00CF1F0C">
        <w:rPr>
          <w:rFonts w:ascii="Times New Roman" w:hAnsi="Times New Roman" w:cs="Times New Roman"/>
          <w:sz w:val="20"/>
          <w:szCs w:val="20"/>
          <w:lang w:val="en-US"/>
        </w:rPr>
        <w:t xml:space="preserve"> confirm that the education is positively associated with the quality of government.</w:t>
      </w:r>
      <w:r w:rsidR="00416F4E" w:rsidRPr="00CF1F0C">
        <w:rPr>
          <w:rFonts w:ascii="Times New Roman" w:hAnsi="Times New Roman" w:cs="Times New Roman"/>
          <w:sz w:val="20"/>
          <w:szCs w:val="20"/>
          <w:lang w:val="en-US"/>
        </w:rPr>
        <w:t xml:space="preserve"> We  found  that  higher educational  attainment  among  society and recruitment of civil  servants based on meritocracy is  associated  with  higher  state  governing  capacity,  resulting in better decisions and better development outcomes. </w:t>
      </w:r>
    </w:p>
    <w:p w:rsidR="00C23FAB" w:rsidRPr="00CF1F0C" w:rsidRDefault="00C23FAB" w:rsidP="00CA4884">
      <w:pPr>
        <w:autoSpaceDE w:val="0"/>
        <w:autoSpaceDN w:val="0"/>
        <w:adjustRightInd w:val="0"/>
        <w:spacing w:line="360" w:lineRule="auto"/>
        <w:ind w:left="0" w:firstLine="0"/>
        <w:jc w:val="both"/>
        <w:rPr>
          <w:rFonts w:ascii="Times New Roman" w:hAnsi="Times New Roman" w:cs="Times New Roman"/>
          <w:b/>
          <w:bCs/>
          <w:sz w:val="20"/>
          <w:szCs w:val="20"/>
          <w:lang w:val="en-US"/>
        </w:rPr>
      </w:pPr>
    </w:p>
    <w:p w:rsidR="00912916" w:rsidRPr="00CF1F0C" w:rsidRDefault="00912916" w:rsidP="00CA4884">
      <w:pPr>
        <w:autoSpaceDE w:val="0"/>
        <w:autoSpaceDN w:val="0"/>
        <w:adjustRightInd w:val="0"/>
        <w:spacing w:line="360" w:lineRule="auto"/>
        <w:ind w:left="0" w:firstLine="0"/>
        <w:jc w:val="both"/>
        <w:rPr>
          <w:rFonts w:ascii="Times New Roman" w:hAnsi="Times New Roman" w:cs="Times New Roman"/>
          <w:b/>
          <w:bCs/>
          <w:sz w:val="20"/>
          <w:szCs w:val="20"/>
          <w:lang w:val="en-US"/>
        </w:rPr>
      </w:pPr>
      <w:r w:rsidRPr="00CF1F0C">
        <w:rPr>
          <w:rFonts w:ascii="Times New Roman" w:hAnsi="Times New Roman" w:cs="Times New Roman"/>
          <w:b/>
          <w:bCs/>
          <w:sz w:val="20"/>
          <w:szCs w:val="20"/>
          <w:lang w:val="en-US"/>
        </w:rPr>
        <w:t>Introduction</w:t>
      </w:r>
    </w:p>
    <w:p w:rsidR="00057495" w:rsidRPr="00CF1F0C" w:rsidRDefault="00413779" w:rsidP="00057495">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The quality of the public administration is important for economic competitiveness and societal well-being. Recent literature on economic governance (Ahrens, 200</w:t>
      </w:r>
      <w:r w:rsidR="006A7AC5" w:rsidRPr="00CF1F0C">
        <w:rPr>
          <w:rFonts w:ascii="Times New Roman" w:hAnsi="Times New Roman" w:cs="Times New Roman"/>
          <w:sz w:val="20"/>
          <w:szCs w:val="20"/>
          <w:lang w:val="en-US"/>
        </w:rPr>
        <w:t>2</w:t>
      </w:r>
      <w:r w:rsidRPr="00CF1F0C">
        <w:rPr>
          <w:rFonts w:ascii="Times New Roman" w:hAnsi="Times New Roman" w:cs="Times New Roman"/>
          <w:sz w:val="20"/>
          <w:szCs w:val="20"/>
          <w:lang w:val="en-US"/>
        </w:rPr>
        <w:t>) consider that the quality of public administration</w:t>
      </w:r>
      <w:r w:rsidR="00CA4884" w:rsidRPr="00CF1F0C">
        <w:rPr>
          <w:rFonts w:ascii="Times New Roman" w:hAnsi="Times New Roman" w:cs="Times New Roman"/>
          <w:sz w:val="20"/>
          <w:szCs w:val="20"/>
          <w:lang w:val="en-US"/>
        </w:rPr>
        <w:t xml:space="preserve"> and “good governance”</w:t>
      </w:r>
      <w:r w:rsidR="00057495" w:rsidRPr="00CF1F0C">
        <w:rPr>
          <w:rFonts w:ascii="Times New Roman" w:hAnsi="Times New Roman" w:cs="Times New Roman"/>
          <w:sz w:val="20"/>
          <w:szCs w:val="20"/>
          <w:lang w:val="en-US"/>
        </w:rPr>
        <w:t xml:space="preserve"> or</w:t>
      </w:r>
      <w:r w:rsidR="00CA4884" w:rsidRPr="00CF1F0C">
        <w:rPr>
          <w:rFonts w:ascii="Times New Roman" w:hAnsi="Times New Roman" w:cs="Times New Roman"/>
          <w:sz w:val="20"/>
          <w:szCs w:val="20"/>
          <w:lang w:val="en-US"/>
        </w:rPr>
        <w:t xml:space="preserve"> “state capacity”, </w:t>
      </w:r>
      <w:r w:rsidRPr="00CF1F0C">
        <w:rPr>
          <w:rFonts w:ascii="Times New Roman" w:hAnsi="Times New Roman" w:cs="Times New Roman"/>
          <w:sz w:val="20"/>
          <w:szCs w:val="20"/>
          <w:lang w:val="en-US"/>
        </w:rPr>
        <w:t xml:space="preserve"> is relevant factor for economic growth. </w:t>
      </w:r>
      <w:r w:rsidR="00CA4884" w:rsidRPr="00CF1F0C">
        <w:rPr>
          <w:rFonts w:ascii="Times New Roman" w:hAnsi="Times New Roman" w:cs="Times New Roman"/>
          <w:sz w:val="20"/>
          <w:szCs w:val="20"/>
          <w:lang w:val="en-US"/>
        </w:rPr>
        <w:t>Economists have started to view dysfunctional government institutions as the most serious obstacle to economic deve</w:t>
      </w:r>
      <w:r w:rsidR="00B43970" w:rsidRPr="00CF1F0C">
        <w:rPr>
          <w:rFonts w:ascii="Times New Roman" w:hAnsi="Times New Roman" w:cs="Times New Roman"/>
          <w:sz w:val="20"/>
          <w:szCs w:val="20"/>
          <w:lang w:val="en-US"/>
        </w:rPr>
        <w:t>lopment across the globe (</w:t>
      </w:r>
      <w:r w:rsidR="00CA4884" w:rsidRPr="00CF1F0C">
        <w:rPr>
          <w:rFonts w:ascii="Times New Roman" w:hAnsi="Times New Roman" w:cs="Times New Roman"/>
          <w:sz w:val="20"/>
          <w:szCs w:val="20"/>
          <w:lang w:val="en-US"/>
        </w:rPr>
        <w:t xml:space="preserve">Rodrik, Subramanian, and Trebbi 2004). </w:t>
      </w:r>
      <w:r w:rsidR="00057495" w:rsidRPr="00CF1F0C">
        <w:rPr>
          <w:rFonts w:ascii="Times New Roman" w:hAnsi="Times New Roman" w:cs="Times New Roman"/>
          <w:sz w:val="20"/>
          <w:szCs w:val="20"/>
          <w:lang w:val="en-US"/>
        </w:rPr>
        <w:t xml:space="preserve">There are several reasons for why governments might fail. Besley (2002) argues that “government might fail because of ignorance, influence (corruption and rent seeking), and the quality of leaders”. Along the same line, Chong, La Porta, Lopez-de-Silanes, and Shleifer (2012) argue that there are </w:t>
      </w:r>
      <w:r w:rsidR="001220C7" w:rsidRPr="00CF1F0C">
        <w:rPr>
          <w:rFonts w:ascii="Times New Roman" w:hAnsi="Times New Roman" w:cs="Times New Roman"/>
          <w:sz w:val="20"/>
          <w:szCs w:val="20"/>
          <w:lang w:val="en-US"/>
        </w:rPr>
        <w:t xml:space="preserve">is one </w:t>
      </w:r>
      <w:r w:rsidR="00057495" w:rsidRPr="00CF1F0C">
        <w:rPr>
          <w:rFonts w:ascii="Times New Roman" w:hAnsi="Times New Roman" w:cs="Times New Roman"/>
          <w:sz w:val="20"/>
          <w:szCs w:val="20"/>
          <w:lang w:val="en-US"/>
        </w:rPr>
        <w:t>reasons for bad government: political economy. The political economy arguments hold that governments in poor</w:t>
      </w:r>
      <w:r w:rsidR="001220C7" w:rsidRPr="00CF1F0C">
        <w:rPr>
          <w:rFonts w:ascii="Times New Roman" w:hAnsi="Times New Roman" w:cs="Times New Roman"/>
          <w:sz w:val="20"/>
          <w:szCs w:val="20"/>
          <w:lang w:val="en-US"/>
        </w:rPr>
        <w:t xml:space="preserve"> </w:t>
      </w:r>
      <w:r w:rsidR="00057495" w:rsidRPr="00CF1F0C">
        <w:rPr>
          <w:rFonts w:ascii="Times New Roman" w:hAnsi="Times New Roman" w:cs="Times New Roman"/>
          <w:sz w:val="20"/>
          <w:szCs w:val="20"/>
          <w:lang w:val="en-US"/>
        </w:rPr>
        <w:t xml:space="preserve">countries are less accountable because citizens have few opportunities to exercise their voice […..] An alternative view of bad government holds that low productivity of government services is explained by the same factors as that in the private sector. Part of the problem might be inferior inputs, including human and physical capital as well as technology”.  </w:t>
      </w:r>
    </w:p>
    <w:p w:rsidR="00CA4884" w:rsidRPr="00CF1F0C" w:rsidRDefault="00413779" w:rsidP="00CA4884">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color w:val="000000"/>
          <w:sz w:val="20"/>
          <w:szCs w:val="20"/>
          <w:lang w:val="en-US"/>
        </w:rPr>
        <w:t xml:space="preserve">Only few studies exist that compare bureaucratic quality and administrative performance internationally at the aggregate level. Most research compares administrations within one system and focus on the performance of local administrations. Some recent publications had attention for overall public sector performance, and also focused on the performance of the public administration, for example </w:t>
      </w:r>
      <w:r w:rsidR="00F727FF" w:rsidRPr="00CF1F0C">
        <w:rPr>
          <w:rFonts w:ascii="Times New Roman" w:hAnsi="Times New Roman" w:cs="Times New Roman"/>
          <w:color w:val="000000"/>
          <w:sz w:val="20"/>
          <w:szCs w:val="20"/>
          <w:lang w:val="en-US"/>
        </w:rPr>
        <w:t>the work</w:t>
      </w:r>
      <w:r w:rsidR="00A87004" w:rsidRPr="00CF1F0C">
        <w:rPr>
          <w:rFonts w:ascii="Times New Roman" w:hAnsi="Times New Roman" w:cs="Times New Roman"/>
          <w:color w:val="000000"/>
          <w:sz w:val="20"/>
          <w:szCs w:val="20"/>
          <w:lang w:val="en-US"/>
        </w:rPr>
        <w:t>:</w:t>
      </w:r>
      <w:r w:rsidR="00F727FF" w:rsidRPr="00CF1F0C">
        <w:rPr>
          <w:rFonts w:ascii="Times New Roman" w:hAnsi="Times New Roman" w:cs="Times New Roman"/>
          <w:color w:val="000000"/>
          <w:sz w:val="20"/>
          <w:szCs w:val="20"/>
          <w:lang w:val="en-US"/>
        </w:rPr>
        <w:t xml:space="preserve"> </w:t>
      </w:r>
      <w:r w:rsidRPr="00CF1F0C">
        <w:rPr>
          <w:rFonts w:ascii="Times New Roman" w:hAnsi="Times New Roman" w:cs="Times New Roman"/>
          <w:color w:val="000000"/>
          <w:sz w:val="20"/>
          <w:szCs w:val="20"/>
          <w:lang w:val="en-US"/>
        </w:rPr>
        <w:t>Public sector efficiency: an international comparison</w:t>
      </w:r>
      <w:r w:rsidR="00F727FF" w:rsidRPr="00CF1F0C">
        <w:rPr>
          <w:rFonts w:ascii="Times New Roman" w:hAnsi="Times New Roman" w:cs="Times New Roman"/>
          <w:color w:val="000000"/>
          <w:sz w:val="20"/>
          <w:szCs w:val="20"/>
          <w:lang w:val="en-US"/>
        </w:rPr>
        <w:t xml:space="preserve"> of </w:t>
      </w:r>
      <w:r w:rsidRPr="00CF1F0C">
        <w:rPr>
          <w:rFonts w:ascii="Times New Roman" w:hAnsi="Times New Roman" w:cs="Times New Roman"/>
          <w:color w:val="000000"/>
          <w:sz w:val="20"/>
          <w:szCs w:val="20"/>
          <w:lang w:val="en-US"/>
        </w:rPr>
        <w:t>Afonso</w:t>
      </w:r>
      <w:r w:rsidR="00F727FF" w:rsidRPr="00CF1F0C">
        <w:rPr>
          <w:rFonts w:ascii="Times New Roman" w:hAnsi="Times New Roman" w:cs="Times New Roman"/>
          <w:color w:val="000000"/>
          <w:sz w:val="20"/>
          <w:szCs w:val="20"/>
          <w:lang w:val="en-US"/>
        </w:rPr>
        <w:t xml:space="preserve"> and coauthors</w:t>
      </w:r>
      <w:r w:rsidRPr="00CF1F0C">
        <w:rPr>
          <w:rFonts w:ascii="Times New Roman" w:hAnsi="Times New Roman" w:cs="Times New Roman"/>
          <w:color w:val="000000"/>
          <w:sz w:val="20"/>
          <w:szCs w:val="20"/>
          <w:lang w:val="en-US"/>
        </w:rPr>
        <w:t xml:space="preserve"> </w:t>
      </w:r>
      <w:r w:rsidR="00F727FF" w:rsidRPr="00CF1F0C">
        <w:rPr>
          <w:rFonts w:ascii="Times New Roman" w:hAnsi="Times New Roman" w:cs="Times New Roman"/>
          <w:color w:val="000000"/>
          <w:sz w:val="20"/>
          <w:szCs w:val="20"/>
          <w:lang w:val="en-US"/>
        </w:rPr>
        <w:t>(</w:t>
      </w:r>
      <w:r w:rsidRPr="00CF1F0C">
        <w:rPr>
          <w:rFonts w:ascii="Times New Roman" w:hAnsi="Times New Roman" w:cs="Times New Roman"/>
          <w:color w:val="000000"/>
          <w:sz w:val="20"/>
          <w:szCs w:val="20"/>
          <w:lang w:val="en-US"/>
        </w:rPr>
        <w:t xml:space="preserve">2003). </w:t>
      </w:r>
      <w:r w:rsidR="00CA4884" w:rsidRPr="00CF1F0C">
        <w:rPr>
          <w:rFonts w:ascii="Times New Roman" w:hAnsi="Times New Roman" w:cs="Times New Roman"/>
          <w:sz w:val="20"/>
          <w:szCs w:val="20"/>
          <w:lang w:val="en-US"/>
        </w:rPr>
        <w:t xml:space="preserve">This paper aims to fill the gap. </w:t>
      </w:r>
    </w:p>
    <w:p w:rsidR="00417486" w:rsidRPr="00CF1F0C" w:rsidRDefault="000102F5" w:rsidP="00F727FF">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A starting point for a discussion of administration is to suppose that citizens of any country prefer to be governed by an honest and competent </w:t>
      </w:r>
      <w:r w:rsidR="00F727FF" w:rsidRPr="00CF1F0C">
        <w:rPr>
          <w:rFonts w:ascii="Times New Roman" w:hAnsi="Times New Roman" w:cs="Times New Roman"/>
          <w:sz w:val="20"/>
          <w:szCs w:val="20"/>
          <w:lang w:val="en-US"/>
        </w:rPr>
        <w:t>official</w:t>
      </w:r>
      <w:r w:rsidRPr="00CF1F0C">
        <w:rPr>
          <w:rFonts w:ascii="Times New Roman" w:hAnsi="Times New Roman" w:cs="Times New Roman"/>
          <w:sz w:val="20"/>
          <w:szCs w:val="20"/>
          <w:lang w:val="en-US"/>
        </w:rPr>
        <w:t xml:space="preserve">. We will argue that educational attainment is a good candidate as a proxy for quality of government. </w:t>
      </w:r>
      <w:r w:rsidR="00CA4884" w:rsidRPr="00CF1F0C">
        <w:rPr>
          <w:rFonts w:ascii="Times New Roman" w:hAnsi="Times New Roman" w:cs="Times New Roman"/>
          <w:sz w:val="20"/>
          <w:szCs w:val="20"/>
          <w:lang w:val="en-US"/>
        </w:rPr>
        <w:t xml:space="preserve">This paper explores if education of societies do matter for quality of administration, and </w:t>
      </w:r>
      <w:r w:rsidR="00CA4884" w:rsidRPr="00CF1F0C">
        <w:rPr>
          <w:rFonts w:ascii="Times New Roman" w:hAnsi="Times New Roman" w:cs="Times New Roman"/>
          <w:sz w:val="20"/>
          <w:szCs w:val="20"/>
          <w:lang w:val="en-US"/>
        </w:rPr>
        <w:lastRenderedPageBreak/>
        <w:t xml:space="preserve">through which mechanisms. </w:t>
      </w:r>
      <w:r w:rsidR="00413779" w:rsidRPr="00CF1F0C">
        <w:rPr>
          <w:rFonts w:ascii="Times New Roman" w:hAnsi="Times New Roman" w:cs="Times New Roman"/>
          <w:sz w:val="20"/>
          <w:szCs w:val="20"/>
          <w:lang w:val="en-US"/>
        </w:rPr>
        <w:t xml:space="preserve">Accordingly, to account for varying levels of effective governance across nations, this paper develops, in its first section, a principal agent model in which good governance is a function of the extent to which citizens can hold officials accountable for their actions. For instance, if education raises voter turnout or the awareness of the electorate in terms of economic and social issues, one could expect the quality of </w:t>
      </w:r>
      <w:r w:rsidR="00E328FA" w:rsidRPr="00CF1F0C">
        <w:rPr>
          <w:rFonts w:ascii="Times New Roman" w:hAnsi="Times New Roman" w:cs="Times New Roman"/>
          <w:sz w:val="20"/>
          <w:szCs w:val="20"/>
          <w:lang w:val="en-US"/>
        </w:rPr>
        <w:t>administration de</w:t>
      </w:r>
      <w:r w:rsidR="00413779" w:rsidRPr="00CF1F0C">
        <w:rPr>
          <w:rFonts w:ascii="Times New Roman" w:hAnsi="Times New Roman" w:cs="Times New Roman"/>
          <w:sz w:val="20"/>
          <w:szCs w:val="20"/>
          <w:lang w:val="en-US"/>
        </w:rPr>
        <w:t xml:space="preserve">cision-making process to improve in the long run. </w:t>
      </w:r>
      <w:r w:rsidR="00F727FF" w:rsidRPr="00CF1F0C">
        <w:rPr>
          <w:rFonts w:ascii="Times New Roman" w:hAnsi="Times New Roman" w:cs="Times New Roman"/>
          <w:sz w:val="20"/>
          <w:szCs w:val="20"/>
          <w:lang w:val="en-US"/>
        </w:rPr>
        <w:t>W</w:t>
      </w:r>
      <w:r w:rsidRPr="00CF1F0C">
        <w:rPr>
          <w:rFonts w:ascii="Times New Roman" w:hAnsi="Times New Roman" w:cs="Times New Roman"/>
          <w:sz w:val="20"/>
          <w:szCs w:val="20"/>
          <w:lang w:val="en-US"/>
        </w:rPr>
        <w:t xml:space="preserve">e discuss background issues that motivate our test linking a country’s administration institutions and the educational attainment of society. </w:t>
      </w:r>
      <w:r w:rsidR="001220C7" w:rsidRPr="00CF1F0C">
        <w:rPr>
          <w:rFonts w:ascii="Times New Roman" w:hAnsi="Times New Roman" w:cs="Times New Roman"/>
          <w:sz w:val="20"/>
          <w:szCs w:val="20"/>
          <w:lang w:val="en-US"/>
        </w:rPr>
        <w:t xml:space="preserve">We show that both the presence of democratic mechanisms of control and an increasingly educated electorate, explain considerably well the distribution of governmental effectiveness across a country sample. </w:t>
      </w:r>
      <w:r w:rsidRPr="00CF1F0C">
        <w:rPr>
          <w:rFonts w:ascii="Times New Roman" w:hAnsi="Times New Roman" w:cs="Times New Roman"/>
          <w:sz w:val="20"/>
          <w:szCs w:val="20"/>
          <w:lang w:val="en-US"/>
        </w:rPr>
        <w:t>We begin by discussing why we might expect educational attainment to be a signal of competen</w:t>
      </w:r>
      <w:r w:rsidR="00F727FF" w:rsidRPr="00CF1F0C">
        <w:rPr>
          <w:rFonts w:ascii="Times New Roman" w:hAnsi="Times New Roman" w:cs="Times New Roman"/>
          <w:sz w:val="20"/>
          <w:szCs w:val="20"/>
          <w:lang w:val="en-US"/>
        </w:rPr>
        <w:t>t</w:t>
      </w:r>
      <w:r w:rsidRPr="00CF1F0C">
        <w:rPr>
          <w:rFonts w:ascii="Times New Roman" w:hAnsi="Times New Roman" w:cs="Times New Roman"/>
          <w:sz w:val="20"/>
          <w:szCs w:val="20"/>
          <w:lang w:val="en-US"/>
        </w:rPr>
        <w:t xml:space="preserve"> administration.</w:t>
      </w:r>
      <w:r w:rsidR="001220C7" w:rsidRPr="00CF1F0C">
        <w:rPr>
          <w:rFonts w:ascii="Times New Roman" w:hAnsi="Times New Roman" w:cs="Times New Roman"/>
          <w:sz w:val="20"/>
          <w:szCs w:val="20"/>
          <w:lang w:val="en-US"/>
        </w:rPr>
        <w:t xml:space="preserve"> </w:t>
      </w:r>
      <w:r w:rsidR="00E328FA" w:rsidRPr="00CF1F0C">
        <w:rPr>
          <w:rFonts w:ascii="Times New Roman" w:hAnsi="Times New Roman" w:cs="Times New Roman"/>
          <w:sz w:val="20"/>
          <w:szCs w:val="20"/>
          <w:lang w:val="en-US"/>
        </w:rPr>
        <w:t xml:space="preserve">As level of education goes up, </w:t>
      </w:r>
      <w:r w:rsidR="003025EE" w:rsidRPr="00CF1F0C">
        <w:rPr>
          <w:rFonts w:ascii="Times New Roman" w:hAnsi="Times New Roman" w:cs="Times New Roman"/>
          <w:sz w:val="20"/>
          <w:szCs w:val="20"/>
          <w:lang w:val="en-US"/>
        </w:rPr>
        <w:t>administration</w:t>
      </w:r>
      <w:r w:rsidR="00E328FA" w:rsidRPr="00CF1F0C">
        <w:rPr>
          <w:rFonts w:ascii="Times New Roman" w:hAnsi="Times New Roman" w:cs="Times New Roman"/>
          <w:sz w:val="20"/>
          <w:szCs w:val="20"/>
          <w:lang w:val="en-US"/>
        </w:rPr>
        <w:t xml:space="preserve"> accountability rises, and the space</w:t>
      </w:r>
      <w:r w:rsidR="003025EE" w:rsidRPr="00CF1F0C">
        <w:rPr>
          <w:rFonts w:ascii="Times New Roman" w:hAnsi="Times New Roman" w:cs="Times New Roman"/>
          <w:sz w:val="20"/>
          <w:szCs w:val="20"/>
          <w:lang w:val="en-US"/>
        </w:rPr>
        <w:t xml:space="preserve"> </w:t>
      </w:r>
      <w:r w:rsidR="00E328FA" w:rsidRPr="00CF1F0C">
        <w:rPr>
          <w:rFonts w:ascii="Times New Roman" w:hAnsi="Times New Roman" w:cs="Times New Roman"/>
          <w:sz w:val="20"/>
          <w:szCs w:val="20"/>
          <w:lang w:val="en-US"/>
        </w:rPr>
        <w:t xml:space="preserve">for rent-seeking  declines. </w:t>
      </w:r>
      <w:r w:rsidR="003025EE" w:rsidRPr="00CF1F0C">
        <w:rPr>
          <w:rFonts w:ascii="Times New Roman" w:hAnsi="Times New Roman" w:cs="Times New Roman"/>
          <w:sz w:val="20"/>
          <w:szCs w:val="20"/>
          <w:lang w:val="en-US"/>
        </w:rPr>
        <w:t>Also this paper suggests that existence of mechanism of professional, merit-recruited, bureaucrats</w:t>
      </w:r>
      <w:r w:rsidR="003025EE" w:rsidRPr="00CF1F0C">
        <w:rPr>
          <w:rFonts w:ascii="Times New Roman" w:hAnsi="Times New Roman" w:cs="Times New Roman"/>
          <w:iCs/>
          <w:sz w:val="20"/>
          <w:szCs w:val="20"/>
          <w:lang w:val="en-US"/>
        </w:rPr>
        <w:t xml:space="preserve"> which </w:t>
      </w:r>
      <w:r w:rsidR="003025EE" w:rsidRPr="00CF1F0C">
        <w:rPr>
          <w:rFonts w:ascii="Times New Roman" w:hAnsi="Times New Roman" w:cs="Times New Roman"/>
          <w:sz w:val="20"/>
          <w:szCs w:val="20"/>
          <w:lang w:val="en-US"/>
        </w:rPr>
        <w:t>require any assumptions on higher competence, higher morals is a mechanisms of control.</w:t>
      </w:r>
      <w:r w:rsidR="00F727FF" w:rsidRPr="00CF1F0C">
        <w:rPr>
          <w:rFonts w:ascii="Times New Roman" w:hAnsi="Times New Roman" w:cs="Times New Roman"/>
          <w:sz w:val="20"/>
          <w:szCs w:val="20"/>
          <w:lang w:val="en-US"/>
        </w:rPr>
        <w:t xml:space="preserve"> </w:t>
      </w:r>
    </w:p>
    <w:p w:rsidR="005717AA" w:rsidRPr="00CF1F0C" w:rsidRDefault="00417486" w:rsidP="005717AA">
      <w:pPr>
        <w:autoSpaceDE w:val="0"/>
        <w:autoSpaceDN w:val="0"/>
        <w:adjustRightInd w:val="0"/>
        <w:spacing w:line="360" w:lineRule="auto"/>
        <w:ind w:left="0" w:firstLine="0"/>
        <w:jc w:val="both"/>
        <w:rPr>
          <w:rFonts w:ascii="Times New Roman" w:hAnsi="Times New Roman" w:cs="Times New Roman"/>
          <w:color w:val="000000" w:themeColor="text1"/>
          <w:sz w:val="20"/>
          <w:szCs w:val="20"/>
          <w:lang w:val="en-US"/>
        </w:rPr>
      </w:pPr>
      <w:r w:rsidRPr="00CF1F0C">
        <w:rPr>
          <w:rFonts w:ascii="Times New Roman" w:hAnsi="Times New Roman" w:cs="Times New Roman"/>
          <w:color w:val="000000" w:themeColor="text1"/>
          <w:sz w:val="20"/>
          <w:szCs w:val="20"/>
          <w:lang w:val="en-US"/>
        </w:rPr>
        <w:t xml:space="preserve">This article proceeds as follows. </w:t>
      </w:r>
      <w:r w:rsidR="005717AA" w:rsidRPr="00CF1F0C">
        <w:rPr>
          <w:rFonts w:ascii="Times New Roman" w:hAnsi="Times New Roman" w:cs="Times New Roman"/>
          <w:color w:val="000000" w:themeColor="text1"/>
          <w:sz w:val="20"/>
          <w:szCs w:val="20"/>
          <w:lang w:val="en-US"/>
        </w:rPr>
        <w:t xml:space="preserve">The  first  section  develops  a  principal-agent  model  in  which  good  governance  is  a function of the extent to which citizens can hold political officials accountable for their actions. </w:t>
      </w:r>
    </w:p>
    <w:p w:rsidR="00417486" w:rsidRPr="00CF1F0C" w:rsidRDefault="005717AA" w:rsidP="005717AA">
      <w:pPr>
        <w:autoSpaceDE w:val="0"/>
        <w:autoSpaceDN w:val="0"/>
        <w:adjustRightInd w:val="0"/>
        <w:spacing w:line="360" w:lineRule="auto"/>
        <w:ind w:left="0" w:firstLine="0"/>
        <w:jc w:val="both"/>
        <w:rPr>
          <w:rFonts w:ascii="Times New Roman" w:hAnsi="Times New Roman" w:cs="Times New Roman"/>
          <w:color w:val="000000" w:themeColor="text1"/>
          <w:sz w:val="20"/>
          <w:szCs w:val="20"/>
          <w:lang w:val="en-US"/>
        </w:rPr>
      </w:pPr>
      <w:r w:rsidRPr="00CF1F0C">
        <w:rPr>
          <w:rFonts w:ascii="Times New Roman" w:hAnsi="Times New Roman" w:cs="Times New Roman"/>
          <w:color w:val="000000" w:themeColor="text1"/>
          <w:sz w:val="20"/>
          <w:szCs w:val="20"/>
          <w:lang w:val="en-US"/>
        </w:rPr>
        <w:t xml:space="preserve">Also </w:t>
      </w:r>
      <w:r w:rsidR="00451FE4" w:rsidRPr="00CF1F0C">
        <w:rPr>
          <w:rFonts w:ascii="Times New Roman" w:hAnsi="Times New Roman" w:cs="Times New Roman"/>
          <w:color w:val="000000" w:themeColor="text1"/>
          <w:sz w:val="20"/>
          <w:szCs w:val="20"/>
          <w:lang w:val="en-US"/>
        </w:rPr>
        <w:t>connection between education and quality of administration</w:t>
      </w:r>
      <w:r w:rsidR="00417486" w:rsidRPr="00CF1F0C">
        <w:rPr>
          <w:rFonts w:ascii="Times New Roman" w:hAnsi="Times New Roman" w:cs="Times New Roman"/>
          <w:color w:val="000000" w:themeColor="text1"/>
          <w:sz w:val="20"/>
          <w:szCs w:val="20"/>
          <w:lang w:val="en-US"/>
        </w:rPr>
        <w:t xml:space="preserve"> is presented. </w:t>
      </w:r>
      <w:r w:rsidRPr="00CF1F0C">
        <w:rPr>
          <w:rFonts w:ascii="Times New Roman" w:hAnsi="Times New Roman" w:cs="Times New Roman"/>
          <w:color w:val="000000" w:themeColor="text1"/>
          <w:sz w:val="20"/>
          <w:szCs w:val="20"/>
          <w:lang w:val="en-US"/>
        </w:rPr>
        <w:t>In the s</w:t>
      </w:r>
      <w:r w:rsidR="00417486" w:rsidRPr="00CF1F0C">
        <w:rPr>
          <w:rFonts w:ascii="Times New Roman" w:hAnsi="Times New Roman" w:cs="Times New Roman"/>
          <w:color w:val="000000" w:themeColor="text1"/>
          <w:sz w:val="20"/>
          <w:szCs w:val="20"/>
          <w:lang w:val="en-US"/>
        </w:rPr>
        <w:t>econd</w:t>
      </w:r>
      <w:r w:rsidRPr="00CF1F0C">
        <w:rPr>
          <w:rFonts w:ascii="Times New Roman" w:hAnsi="Times New Roman" w:cs="Times New Roman"/>
          <w:color w:val="000000" w:themeColor="text1"/>
          <w:sz w:val="20"/>
          <w:szCs w:val="20"/>
          <w:lang w:val="en-US"/>
        </w:rPr>
        <w:t xml:space="preserve"> section</w:t>
      </w:r>
      <w:r w:rsidR="00417486" w:rsidRPr="00CF1F0C">
        <w:rPr>
          <w:rFonts w:ascii="Times New Roman" w:hAnsi="Times New Roman" w:cs="Times New Roman"/>
          <w:color w:val="000000" w:themeColor="text1"/>
          <w:sz w:val="20"/>
          <w:szCs w:val="20"/>
          <w:lang w:val="en-US"/>
        </w:rPr>
        <w:t>, the concept of quality of</w:t>
      </w:r>
      <w:r w:rsidR="00271581" w:rsidRPr="00CF1F0C">
        <w:rPr>
          <w:rFonts w:ascii="Times New Roman" w:hAnsi="Times New Roman" w:cs="Times New Roman"/>
          <w:color w:val="000000" w:themeColor="text1"/>
          <w:sz w:val="20"/>
          <w:szCs w:val="20"/>
          <w:lang w:val="en-US"/>
        </w:rPr>
        <w:t xml:space="preserve"> administration</w:t>
      </w:r>
      <w:r w:rsidRPr="00CF1F0C">
        <w:rPr>
          <w:rFonts w:ascii="Times New Roman" w:hAnsi="Times New Roman" w:cs="Times New Roman"/>
          <w:color w:val="000000" w:themeColor="text1"/>
          <w:sz w:val="20"/>
          <w:szCs w:val="20"/>
          <w:lang w:val="en-US"/>
        </w:rPr>
        <w:t xml:space="preserve"> is outlined. In the next</w:t>
      </w:r>
      <w:r w:rsidR="00417486" w:rsidRPr="00CF1F0C">
        <w:rPr>
          <w:rFonts w:ascii="Times New Roman" w:hAnsi="Times New Roman" w:cs="Times New Roman"/>
          <w:color w:val="000000" w:themeColor="text1"/>
          <w:sz w:val="20"/>
          <w:szCs w:val="20"/>
          <w:lang w:val="en-US"/>
        </w:rPr>
        <w:t xml:space="preserve"> section, the data is introduced. The relationship and results from the regression analyses are presented in the fourth section </w:t>
      </w:r>
    </w:p>
    <w:p w:rsidR="00E328FA" w:rsidRPr="00CF1F0C" w:rsidRDefault="00E328FA" w:rsidP="00CA4884">
      <w:pPr>
        <w:autoSpaceDE w:val="0"/>
        <w:autoSpaceDN w:val="0"/>
        <w:adjustRightInd w:val="0"/>
        <w:spacing w:line="360" w:lineRule="auto"/>
        <w:ind w:left="0" w:firstLine="0"/>
        <w:rPr>
          <w:rFonts w:ascii="Times New Roman" w:hAnsi="Times New Roman" w:cs="Times New Roman"/>
          <w:sz w:val="20"/>
          <w:szCs w:val="20"/>
          <w:lang w:val="en-US"/>
        </w:rPr>
      </w:pPr>
    </w:p>
    <w:p w:rsidR="007C2AD4" w:rsidRPr="00CF1F0C" w:rsidRDefault="001727F7" w:rsidP="00CA4884">
      <w:pPr>
        <w:autoSpaceDE w:val="0"/>
        <w:autoSpaceDN w:val="0"/>
        <w:adjustRightInd w:val="0"/>
        <w:spacing w:line="360" w:lineRule="auto"/>
        <w:ind w:left="0" w:firstLine="0"/>
        <w:rPr>
          <w:rFonts w:ascii="Times New Roman" w:hAnsi="Times New Roman" w:cs="Times New Roman"/>
          <w:b/>
          <w:sz w:val="20"/>
          <w:szCs w:val="20"/>
          <w:lang w:val="en-US"/>
        </w:rPr>
      </w:pPr>
      <w:r w:rsidRPr="00CF1F0C">
        <w:rPr>
          <w:rFonts w:ascii="Times New Roman" w:hAnsi="Times New Roman" w:cs="Times New Roman"/>
          <w:b/>
          <w:bCs/>
          <w:sz w:val="20"/>
          <w:szCs w:val="20"/>
          <w:lang w:val="en-US"/>
        </w:rPr>
        <w:t xml:space="preserve">A Theory of Political Accountability. </w:t>
      </w:r>
      <w:r w:rsidR="009F1B8E" w:rsidRPr="00CF1F0C">
        <w:rPr>
          <w:rFonts w:ascii="Times New Roman" w:hAnsi="Times New Roman" w:cs="Times New Roman"/>
          <w:b/>
          <w:sz w:val="20"/>
          <w:szCs w:val="20"/>
          <w:lang w:val="en-US"/>
        </w:rPr>
        <w:t>Does education matter?</w:t>
      </w:r>
    </w:p>
    <w:p w:rsidR="001727F7" w:rsidRPr="00CF1F0C" w:rsidRDefault="00A87004" w:rsidP="005717AA">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Public accountability is an ambiguous topic. The basic elements of the discussion on public accountability have been in relation to the organization, the powers and the ethics of public authority.  </w:t>
      </w:r>
      <w:r w:rsidR="001727F7" w:rsidRPr="00CF1F0C">
        <w:rPr>
          <w:rFonts w:ascii="Times New Roman" w:hAnsi="Times New Roman" w:cs="Times New Roman"/>
          <w:sz w:val="20"/>
          <w:szCs w:val="20"/>
          <w:lang w:val="en-US"/>
        </w:rPr>
        <w:t>To develop a theory of the causes of good administration (good governance), we explore the institutional and informational conditions under which the public can induce bureaucrats to behave well. Principal-agent theory has been used extensively in public administration, implementation analysis to examine the problems associated with management and administration. The governance is a game in which a principal, the public, delegates on an agent, the policy-maker, a given set of instruments to execute certain goals. A critical management problem is delegation. Delegation occurs when a principal</w:t>
      </w:r>
      <w:r w:rsidR="00F727FF" w:rsidRPr="00CF1F0C">
        <w:rPr>
          <w:rFonts w:ascii="Times New Roman" w:hAnsi="Times New Roman" w:cs="Times New Roman"/>
          <w:sz w:val="20"/>
          <w:szCs w:val="20"/>
          <w:lang w:val="en-US"/>
        </w:rPr>
        <w:t>,</w:t>
      </w:r>
      <w:r w:rsidR="001727F7" w:rsidRPr="00CF1F0C">
        <w:rPr>
          <w:rFonts w:ascii="Times New Roman" w:hAnsi="Times New Roman" w:cs="Times New Roman"/>
          <w:sz w:val="20"/>
          <w:szCs w:val="20"/>
          <w:lang w:val="en-US"/>
        </w:rPr>
        <w:t xml:space="preserve"> who </w:t>
      </w:r>
      <w:r w:rsidR="008F1735" w:rsidRPr="00CF1F0C">
        <w:rPr>
          <w:rFonts w:ascii="Times New Roman" w:hAnsi="Times New Roman" w:cs="Times New Roman"/>
          <w:sz w:val="20"/>
          <w:szCs w:val="20"/>
          <w:lang w:val="en-US"/>
        </w:rPr>
        <w:t xml:space="preserve">cannot easily perform the task, </w:t>
      </w:r>
      <w:r w:rsidR="001727F7" w:rsidRPr="00CF1F0C">
        <w:rPr>
          <w:rFonts w:ascii="Times New Roman" w:hAnsi="Times New Roman" w:cs="Times New Roman"/>
          <w:sz w:val="20"/>
          <w:szCs w:val="20"/>
          <w:lang w:val="en-US"/>
        </w:rPr>
        <w:t xml:space="preserve">instead hires an agent to accomplish the task. </w:t>
      </w:r>
      <w:r w:rsidR="00F727FF" w:rsidRPr="00CF1F0C">
        <w:rPr>
          <w:rFonts w:ascii="Times New Roman" w:hAnsi="Times New Roman" w:cs="Times New Roman"/>
          <w:sz w:val="20"/>
          <w:szCs w:val="20"/>
          <w:lang w:val="en-US"/>
        </w:rPr>
        <w:t>P</w:t>
      </w:r>
      <w:r w:rsidR="001727F7" w:rsidRPr="00CF1F0C">
        <w:rPr>
          <w:rFonts w:ascii="Times New Roman" w:hAnsi="Times New Roman" w:cs="Times New Roman"/>
          <w:sz w:val="20"/>
          <w:szCs w:val="20"/>
          <w:lang w:val="en-US"/>
        </w:rPr>
        <w:t>rincipals have difficulty knowing if they hired the right person and whether the task is being accomplished appropriately. Th</w:t>
      </w:r>
      <w:r w:rsidR="008F1735" w:rsidRPr="00CF1F0C">
        <w:rPr>
          <w:rFonts w:ascii="Times New Roman" w:hAnsi="Times New Roman" w:cs="Times New Roman"/>
          <w:sz w:val="20"/>
          <w:szCs w:val="20"/>
          <w:lang w:val="en-US"/>
        </w:rPr>
        <w:t>is</w:t>
      </w:r>
      <w:r w:rsidR="001727F7" w:rsidRPr="00CF1F0C">
        <w:rPr>
          <w:rFonts w:ascii="Times New Roman" w:hAnsi="Times New Roman" w:cs="Times New Roman"/>
          <w:sz w:val="20"/>
          <w:szCs w:val="20"/>
          <w:lang w:val="en-US"/>
        </w:rPr>
        <w:t xml:space="preserve"> two problems</w:t>
      </w:r>
      <w:r w:rsidR="008F1735"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are known as adverse selection and moral hazard. Moral hazards arise because the principal and agent often have conflicting goals and views of risk</w:t>
      </w:r>
      <w:r w:rsidR="008F1735" w:rsidRPr="00CF1F0C">
        <w:rPr>
          <w:rFonts w:ascii="Times New Roman" w:hAnsi="Times New Roman" w:cs="Times New Roman"/>
          <w:sz w:val="20"/>
          <w:szCs w:val="20"/>
          <w:lang w:val="en-US"/>
        </w:rPr>
        <w:t>. P</w:t>
      </w:r>
      <w:r w:rsidR="001727F7" w:rsidRPr="00CF1F0C">
        <w:rPr>
          <w:rFonts w:ascii="Times New Roman" w:hAnsi="Times New Roman" w:cs="Times New Roman"/>
          <w:sz w:val="20"/>
          <w:szCs w:val="20"/>
          <w:lang w:val="en-US"/>
        </w:rPr>
        <w:t xml:space="preserve">rincipal cannot assume the agent will act in the principal’s best interest. This conflict is exacerbated because monitoring the actions of an agent can be costly. Adverse selection problems leave principals in the position of not knowing if they have hired the right person for the job and if the agent </w:t>
      </w:r>
      <w:r w:rsidR="00451FE4" w:rsidRPr="00CF1F0C">
        <w:rPr>
          <w:rFonts w:ascii="Times New Roman" w:hAnsi="Times New Roman" w:cs="Times New Roman"/>
          <w:sz w:val="20"/>
          <w:szCs w:val="20"/>
          <w:lang w:val="en-US"/>
        </w:rPr>
        <w:t xml:space="preserve">represents the principal. </w:t>
      </w:r>
      <w:r w:rsidR="001727F7" w:rsidRPr="00CF1F0C">
        <w:rPr>
          <w:rFonts w:ascii="Times New Roman" w:hAnsi="Times New Roman" w:cs="Times New Roman"/>
          <w:sz w:val="20"/>
          <w:szCs w:val="20"/>
          <w:lang w:val="en-US"/>
        </w:rPr>
        <w:t xml:space="preserve">This delegation process is not exempted, however, from considerable political tensions due to the existence of both heterogeneous interests and informational asymmetries between the principal and the agent. First, policymakers and voters may have interests at odds with each other: the former may be simply interested in enriching themselves while in office or, even if they are honest, their ideas about what enhances the welfare of the public may differ from what the public itself wants. Second, the principal and agents may differ in their corresponding levels of information about the state of the world, the policies to be pursued and their welfare consequences. If the public is less well informed than the policymaker, the latter can more easily impose her preferences or even exploit the public. In short, the delegation </w:t>
      </w:r>
      <w:r w:rsidR="001727F7" w:rsidRPr="00CF1F0C">
        <w:rPr>
          <w:rFonts w:ascii="Times New Roman" w:hAnsi="Times New Roman" w:cs="Times New Roman"/>
          <w:sz w:val="20"/>
          <w:szCs w:val="20"/>
          <w:lang w:val="en-US"/>
        </w:rPr>
        <w:lastRenderedPageBreak/>
        <w:t>of decision-making and policy implementation responsibilities, a “must” in modern representative democracies, automatically opens up the possibility for significant inefficiencies among political practitioners</w:t>
      </w:r>
      <w:r w:rsidR="00427DE1" w:rsidRPr="00CF1F0C">
        <w:rPr>
          <w:rFonts w:ascii="Times New Roman" w:hAnsi="Times New Roman" w:cs="Times New Roman"/>
          <w:sz w:val="20"/>
          <w:szCs w:val="20"/>
          <w:lang w:val="en-US"/>
        </w:rPr>
        <w:t xml:space="preserve"> (Waterman 1998).</w:t>
      </w:r>
      <w:r w:rsidR="005717AA"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Our interest is in considering whether the problems identified through principal</w:t>
      </w:r>
      <w:r w:rsidR="008F1735"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w:t>
      </w:r>
      <w:r w:rsidR="008F1735"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agent</w:t>
      </w:r>
      <w:r w:rsidR="00A3342C"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 xml:space="preserve">theory can be easily mitigated in the context of </w:t>
      </w:r>
      <w:r w:rsidR="000102F5" w:rsidRPr="00CF1F0C">
        <w:rPr>
          <w:rFonts w:ascii="Times New Roman" w:hAnsi="Times New Roman" w:cs="Times New Roman"/>
          <w:sz w:val="20"/>
          <w:szCs w:val="20"/>
          <w:lang w:val="en-US"/>
        </w:rPr>
        <w:t>quality of ad</w:t>
      </w:r>
      <w:r w:rsidR="001727F7" w:rsidRPr="00CF1F0C">
        <w:rPr>
          <w:rFonts w:ascii="Times New Roman" w:hAnsi="Times New Roman" w:cs="Times New Roman"/>
          <w:sz w:val="20"/>
          <w:szCs w:val="20"/>
          <w:lang w:val="en-US"/>
        </w:rPr>
        <w:t>ministration. We</w:t>
      </w:r>
      <w:r w:rsidR="00A3342C"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 xml:space="preserve">specifically focus on </w:t>
      </w:r>
      <w:r w:rsidR="008F1735" w:rsidRPr="00CF1F0C">
        <w:rPr>
          <w:rFonts w:ascii="Times New Roman" w:hAnsi="Times New Roman" w:cs="Times New Roman"/>
          <w:sz w:val="20"/>
          <w:szCs w:val="20"/>
          <w:lang w:val="en-US"/>
        </w:rPr>
        <w:t>two</w:t>
      </w:r>
      <w:r w:rsidR="001727F7" w:rsidRPr="00CF1F0C">
        <w:rPr>
          <w:rFonts w:ascii="Times New Roman" w:hAnsi="Times New Roman" w:cs="Times New Roman"/>
          <w:sz w:val="20"/>
          <w:szCs w:val="20"/>
          <w:lang w:val="en-US"/>
        </w:rPr>
        <w:t xml:space="preserve"> aspects of the principal-agent model:</w:t>
      </w:r>
    </w:p>
    <w:p w:rsidR="001727F7" w:rsidRPr="00CF1F0C" w:rsidRDefault="000102F5" w:rsidP="00CA4884">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1</w:t>
      </w:r>
      <w:r w:rsidR="001727F7" w:rsidRPr="00CF1F0C">
        <w:rPr>
          <w:rFonts w:ascii="Times New Roman" w:hAnsi="Times New Roman" w:cs="Times New Roman"/>
          <w:sz w:val="20"/>
          <w:szCs w:val="20"/>
          <w:lang w:val="en-US"/>
        </w:rPr>
        <w:t>. The methods available to principals for minimizing the effects of the principal</w:t>
      </w:r>
      <w:r w:rsidR="008F1735"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w:t>
      </w:r>
      <w:r w:rsidR="008F1735"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agent</w:t>
      </w:r>
      <w:r w:rsidR="00A3342C"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dilemma—</w:t>
      </w:r>
      <w:r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contracting, monitoring.</w:t>
      </w:r>
    </w:p>
    <w:p w:rsidR="001727F7" w:rsidRPr="00CF1F0C" w:rsidRDefault="000102F5" w:rsidP="00CA4884">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2</w:t>
      </w:r>
      <w:r w:rsidR="001727F7" w:rsidRPr="00CF1F0C">
        <w:rPr>
          <w:rFonts w:ascii="Times New Roman" w:hAnsi="Times New Roman" w:cs="Times New Roman"/>
          <w:sz w:val="20"/>
          <w:szCs w:val="20"/>
          <w:lang w:val="en-US"/>
        </w:rPr>
        <w:t>. Overcoming the adverse selection problem requires a large pool of potential agents from</w:t>
      </w:r>
      <w:r w:rsidR="00A3342C"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which to select, so the principal is in a position to reject all unqualified agents.</w:t>
      </w:r>
    </w:p>
    <w:p w:rsidR="001727F7" w:rsidRPr="00CF1F0C" w:rsidRDefault="00B43970" w:rsidP="000102F5">
      <w:pPr>
        <w:autoSpaceDE w:val="0"/>
        <w:autoSpaceDN w:val="0"/>
        <w:adjustRightInd w:val="0"/>
        <w:spacing w:line="360" w:lineRule="auto"/>
        <w:ind w:left="0" w:firstLine="0"/>
        <w:jc w:val="both"/>
        <w:rPr>
          <w:rFonts w:ascii="Times New Roman" w:hAnsi="Times New Roman" w:cs="Times New Roman"/>
          <w:color w:val="000000" w:themeColor="text1"/>
          <w:sz w:val="20"/>
          <w:szCs w:val="20"/>
          <w:lang w:val="en-US"/>
        </w:rPr>
      </w:pPr>
      <w:r w:rsidRPr="00CF1F0C">
        <w:rPr>
          <w:rFonts w:ascii="Times New Roman" w:hAnsi="Times New Roman" w:cs="Times New Roman"/>
          <w:sz w:val="20"/>
          <w:szCs w:val="20"/>
          <w:lang w:val="en-US"/>
        </w:rPr>
        <w:t>T</w:t>
      </w:r>
      <w:r w:rsidR="001727F7" w:rsidRPr="00CF1F0C">
        <w:rPr>
          <w:rFonts w:ascii="Times New Roman" w:hAnsi="Times New Roman" w:cs="Times New Roman"/>
          <w:sz w:val="20"/>
          <w:szCs w:val="20"/>
          <w:lang w:val="en-US"/>
        </w:rPr>
        <w:t>he solution to the</w:t>
      </w:r>
      <w:r w:rsidR="00A3342C"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delegation problem lies in the public setting up a control mechanism, such as regular elections, to</w:t>
      </w:r>
      <w:r w:rsidR="00A3342C"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discipline the policy-maker. If electors vote retrospectively, that is, if they look backwards to the</w:t>
      </w:r>
      <w:r w:rsidR="00A3342C"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results provided by the incumbent before casting their ballot, elections should make</w:t>
      </w:r>
      <w:r w:rsidR="00A3342C"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policymakers accountable to the public. Being dependent on electors’ support, politicians would</w:t>
      </w:r>
      <w:r w:rsidR="00A3342C"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strive to deliver good services and refrain from extracting rents. Yet that solution may be only</w:t>
      </w:r>
      <w:r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partial. As we show formally below, the effectiveness of any control mechanism depends both on</w:t>
      </w:r>
      <w:r w:rsidR="00A3342C" w:rsidRPr="00CF1F0C">
        <w:rPr>
          <w:rFonts w:ascii="Times New Roman" w:hAnsi="Times New Roman" w:cs="Times New Roman"/>
          <w:sz w:val="20"/>
          <w:szCs w:val="20"/>
          <w:lang w:val="en-US"/>
        </w:rPr>
        <w:t xml:space="preserve"> </w:t>
      </w:r>
      <w:r w:rsidR="001727F7" w:rsidRPr="00CF1F0C">
        <w:rPr>
          <w:rFonts w:ascii="Times New Roman" w:hAnsi="Times New Roman" w:cs="Times New Roman"/>
          <w:sz w:val="20"/>
          <w:szCs w:val="20"/>
          <w:lang w:val="en-US"/>
        </w:rPr>
        <w:t xml:space="preserve">the instruments that the public has to collect information on the behavior of </w:t>
      </w:r>
      <w:r w:rsidR="001727F7" w:rsidRPr="00CF1F0C">
        <w:rPr>
          <w:rFonts w:ascii="Times New Roman" w:hAnsi="Times New Roman" w:cs="Times New Roman"/>
          <w:color w:val="000000" w:themeColor="text1"/>
          <w:sz w:val="20"/>
          <w:szCs w:val="20"/>
          <w:lang w:val="en-US"/>
        </w:rPr>
        <w:t>the government and</w:t>
      </w:r>
      <w:r w:rsidR="00A3342C" w:rsidRPr="00CF1F0C">
        <w:rPr>
          <w:rFonts w:ascii="Times New Roman" w:hAnsi="Times New Roman" w:cs="Times New Roman"/>
          <w:color w:val="000000" w:themeColor="text1"/>
          <w:sz w:val="20"/>
          <w:szCs w:val="20"/>
          <w:lang w:val="en-US"/>
        </w:rPr>
        <w:t xml:space="preserve"> </w:t>
      </w:r>
      <w:r w:rsidR="001727F7" w:rsidRPr="00CF1F0C">
        <w:rPr>
          <w:rFonts w:ascii="Times New Roman" w:hAnsi="Times New Roman" w:cs="Times New Roman"/>
          <w:color w:val="000000" w:themeColor="text1"/>
          <w:sz w:val="20"/>
          <w:szCs w:val="20"/>
          <w:lang w:val="en-US"/>
        </w:rPr>
        <w:t>on the ease with which the control device can be exercised.</w:t>
      </w:r>
    </w:p>
    <w:p w:rsidR="003A6280" w:rsidRPr="00CF1F0C" w:rsidRDefault="0092097B" w:rsidP="00CF456A">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eastAsia="TimesNewRoman" w:hAnsi="Times New Roman" w:cs="Times New Roman"/>
          <w:color w:val="000000" w:themeColor="text1"/>
          <w:sz w:val="20"/>
          <w:szCs w:val="20"/>
          <w:lang w:val="en-US"/>
        </w:rPr>
        <w:t>The second control mechanism that discipline administration officers is management and recruitment of public sector employee. Improving recruitment strategies, education and flexibility, and fitting motivational structures account for the fact that public servants are the major resource of a service-oriented public  sector.  Motivated  and  competent  employees  are  a  key  determinant  of  an  excellent public administration with regard to business contacts and the general perception of the public sector among citizens (Demmke and Moilanen, 2010, p. 202).</w:t>
      </w:r>
      <w:r w:rsidR="005717AA" w:rsidRPr="00CF1F0C">
        <w:rPr>
          <w:rFonts w:ascii="Times New Roman" w:eastAsia="TimesNewRoman" w:hAnsi="Times New Roman" w:cs="Times New Roman"/>
          <w:color w:val="000000" w:themeColor="text1"/>
          <w:sz w:val="20"/>
          <w:szCs w:val="20"/>
          <w:lang w:val="en-US"/>
        </w:rPr>
        <w:t xml:space="preserve"> </w:t>
      </w:r>
      <w:r w:rsidR="003A6280" w:rsidRPr="00CF1F0C">
        <w:rPr>
          <w:rFonts w:ascii="Times New Roman" w:hAnsi="Times New Roman" w:cs="Times New Roman"/>
          <w:sz w:val="20"/>
          <w:szCs w:val="20"/>
          <w:lang w:val="en-US"/>
        </w:rPr>
        <w:t>Rauch and Evans (2000) in study of 35 developing countries test the impact of the level of meritocratic recruitment, the existence of competitive salaries and the degree of internal promotion and career stability on bureaucratic performance.</w:t>
      </w:r>
      <w:r w:rsidR="0074447E" w:rsidRPr="00CF1F0C">
        <w:rPr>
          <w:rFonts w:ascii="Times New Roman" w:hAnsi="Times New Roman" w:cs="Times New Roman"/>
          <w:sz w:val="20"/>
          <w:szCs w:val="20"/>
          <w:lang w:val="en-US"/>
        </w:rPr>
        <w:t xml:space="preserve"> T</w:t>
      </w:r>
      <w:r w:rsidR="003A6280" w:rsidRPr="00CF1F0C">
        <w:rPr>
          <w:rFonts w:ascii="Times New Roman" w:hAnsi="Times New Roman" w:cs="Times New Roman"/>
          <w:sz w:val="20"/>
          <w:szCs w:val="20"/>
          <w:lang w:val="en-US"/>
        </w:rPr>
        <w:t xml:space="preserve">he level of meritocratic recruitment seemed to reduce the level of corruption in the pool of countries analyzed. </w:t>
      </w:r>
      <w:r w:rsidR="0074447E" w:rsidRPr="00CF1F0C">
        <w:rPr>
          <w:rFonts w:ascii="Times New Roman" w:hAnsi="Times New Roman" w:cs="Times New Roman"/>
          <w:sz w:val="20"/>
          <w:szCs w:val="20"/>
          <w:lang w:val="en-US"/>
        </w:rPr>
        <w:t>M</w:t>
      </w:r>
      <w:r w:rsidR="003A6280" w:rsidRPr="00CF1F0C">
        <w:rPr>
          <w:rFonts w:ascii="Times New Roman" w:hAnsi="Times New Roman" w:cs="Times New Roman"/>
          <w:sz w:val="20"/>
          <w:szCs w:val="20"/>
          <w:lang w:val="en-US"/>
        </w:rPr>
        <w:t>erit recruitment is the existence of competitive formal examinations and the possession of university degrees among the employees of core economic agencies.</w:t>
      </w:r>
    </w:p>
    <w:p w:rsidR="001727F7" w:rsidRPr="00CF1F0C" w:rsidRDefault="001727F7" w:rsidP="008559D5">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In order to improve bureaucratic performance, one should select “better types”. This can be done through two related procedures. </w:t>
      </w:r>
      <w:r w:rsidR="00CF456A" w:rsidRPr="00CF1F0C">
        <w:rPr>
          <w:rFonts w:ascii="Times New Roman" w:hAnsi="Times New Roman" w:cs="Times New Roman"/>
          <w:sz w:val="20"/>
          <w:szCs w:val="20"/>
          <w:lang w:val="en-US"/>
        </w:rPr>
        <w:t>F</w:t>
      </w:r>
      <w:r w:rsidRPr="00CF1F0C">
        <w:rPr>
          <w:rFonts w:ascii="Times New Roman" w:hAnsi="Times New Roman" w:cs="Times New Roman"/>
          <w:sz w:val="20"/>
          <w:szCs w:val="20"/>
          <w:lang w:val="en-US"/>
        </w:rPr>
        <w:t>irst option would be to “screen” the potential pool of candidates and select the most competent among them. Alternatively, one can ask candidates to “signal” their capabilities in a competitive formal examination or in a given educational degree – that is, the standard entry procedure to administrati</w:t>
      </w:r>
      <w:r w:rsidR="00A3342C" w:rsidRPr="00CF1F0C">
        <w:rPr>
          <w:rFonts w:ascii="Times New Roman" w:hAnsi="Times New Roman" w:cs="Times New Roman"/>
          <w:sz w:val="20"/>
          <w:szCs w:val="20"/>
          <w:lang w:val="en-US"/>
        </w:rPr>
        <w:t>on</w:t>
      </w:r>
      <w:r w:rsidRPr="00CF1F0C">
        <w:rPr>
          <w:rFonts w:ascii="Times New Roman" w:hAnsi="Times New Roman" w:cs="Times New Roman"/>
          <w:sz w:val="20"/>
          <w:szCs w:val="20"/>
          <w:lang w:val="en-US"/>
        </w:rPr>
        <w:t xml:space="preserve">. These are thus two observable characteristics of this mechanism of “selecting better types” that do not need to go hand in hand. </w:t>
      </w:r>
      <w:r w:rsidR="008559D5" w:rsidRPr="00CF1F0C">
        <w:rPr>
          <w:rFonts w:ascii="Times New Roman" w:hAnsi="Times New Roman" w:cs="Times New Roman"/>
          <w:sz w:val="20"/>
          <w:szCs w:val="20"/>
          <w:lang w:val="en-US"/>
        </w:rPr>
        <w:t xml:space="preserve">Enforcement of meritocratic recruitment requires veriﬁcation of whether entry into government service has been conditioned on passage of a civil service exam or attainment of a university degree. Implementation of internal promotion requires that higher-level agency positions be ﬁlled by current members of the civil service. </w:t>
      </w:r>
      <w:r w:rsidRPr="00CF1F0C">
        <w:rPr>
          <w:rFonts w:ascii="Times New Roman" w:hAnsi="Times New Roman" w:cs="Times New Roman"/>
          <w:sz w:val="20"/>
          <w:szCs w:val="20"/>
          <w:lang w:val="en-US"/>
        </w:rPr>
        <w:t>The first observable recruitment feature would be according to merit as opposed to acquaintance or loyalty to their political superiors.</w:t>
      </w:r>
      <w:r w:rsidR="000102F5"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The second mechanism would not deal with how to prevent adverse selection but how to reduce moral hazard.</w:t>
      </w:r>
      <w:r w:rsidR="008559D5" w:rsidRPr="00CF1F0C">
        <w:rPr>
          <w:rFonts w:ascii="Times New Roman" w:hAnsi="Times New Roman" w:cs="Times New Roman"/>
          <w:sz w:val="20"/>
          <w:szCs w:val="20"/>
          <w:lang w:val="en-US"/>
        </w:rPr>
        <w:t xml:space="preserve"> T</w:t>
      </w:r>
      <w:r w:rsidRPr="00CF1F0C">
        <w:rPr>
          <w:rFonts w:ascii="Times New Roman" w:hAnsi="Times New Roman" w:cs="Times New Roman"/>
          <w:sz w:val="20"/>
          <w:szCs w:val="20"/>
          <w:lang w:val="en-US"/>
        </w:rPr>
        <w:t>his mechanism would consist of “creating bett</w:t>
      </w:r>
      <w:r w:rsidR="00CF456A" w:rsidRPr="00CF1F0C">
        <w:rPr>
          <w:rFonts w:ascii="Times New Roman" w:hAnsi="Times New Roman" w:cs="Times New Roman"/>
          <w:sz w:val="20"/>
          <w:szCs w:val="20"/>
          <w:lang w:val="en-US"/>
        </w:rPr>
        <w:t>er types” through socialization</w:t>
      </w:r>
      <w:r w:rsidRPr="00CF1F0C">
        <w:rPr>
          <w:rFonts w:ascii="Times New Roman" w:hAnsi="Times New Roman" w:cs="Times New Roman"/>
          <w:sz w:val="20"/>
          <w:szCs w:val="20"/>
          <w:lang w:val="en-US"/>
        </w:rPr>
        <w:t xml:space="preserve">. Those norms would be the joint effect of many characteristics by the existence of career stability and lifelong tenure, the prevalence of internal promotions over lateral entries to the public service, and the development of special laws covering the terms of employment for public sector employees instead of the </w:t>
      </w:r>
      <w:r w:rsidRPr="00CF1F0C">
        <w:rPr>
          <w:rFonts w:ascii="Times New Roman" w:hAnsi="Times New Roman" w:cs="Times New Roman"/>
          <w:sz w:val="20"/>
          <w:szCs w:val="20"/>
          <w:lang w:val="en-US"/>
        </w:rPr>
        <w:lastRenderedPageBreak/>
        <w:t>general labor laws prevailing in the country. The high number of interactions among the public servants would create a sense of common norms which would</w:t>
      </w:r>
      <w:r w:rsidR="00CF456A" w:rsidRPr="00CF1F0C">
        <w:rPr>
          <w:rFonts w:ascii="Times New Roman" w:hAnsi="Times New Roman" w:cs="Times New Roman"/>
          <w:sz w:val="20"/>
          <w:szCs w:val="20"/>
          <w:lang w:val="en-US"/>
        </w:rPr>
        <w:t xml:space="preserve"> for example</w:t>
      </w:r>
      <w:r w:rsidR="006233EC" w:rsidRPr="00CF1F0C">
        <w:rPr>
          <w:rFonts w:ascii="Times New Roman" w:hAnsi="Times New Roman" w:cs="Times New Roman"/>
          <w:sz w:val="20"/>
          <w:szCs w:val="20"/>
          <w:lang w:val="en-US"/>
        </w:rPr>
        <w:t xml:space="preserve"> discourage corrupt behaviors </w:t>
      </w:r>
      <w:r w:rsidR="00A3342C" w:rsidRPr="00CF1F0C">
        <w:rPr>
          <w:rFonts w:ascii="Times New Roman" w:hAnsi="Times New Roman" w:cs="Times New Roman"/>
          <w:sz w:val="20"/>
          <w:szCs w:val="20"/>
          <w:lang w:val="en-US"/>
        </w:rPr>
        <w:t>(Dahl</w:t>
      </w:r>
      <w:r w:rsidR="00180A90" w:rsidRPr="00CF1F0C">
        <w:rPr>
          <w:rFonts w:ascii="Times New Roman" w:hAnsi="Times New Roman" w:cs="Times New Roman"/>
          <w:sz w:val="20"/>
          <w:szCs w:val="20"/>
          <w:lang w:val="en-US"/>
        </w:rPr>
        <w:t>strom 2011</w:t>
      </w:r>
      <w:r w:rsidR="00A3342C" w:rsidRPr="00CF1F0C">
        <w:rPr>
          <w:rFonts w:ascii="Times New Roman" w:hAnsi="Times New Roman" w:cs="Times New Roman"/>
          <w:sz w:val="20"/>
          <w:szCs w:val="20"/>
          <w:lang w:val="en-US"/>
        </w:rPr>
        <w:t>)</w:t>
      </w:r>
      <w:r w:rsidR="006233EC" w:rsidRPr="00CF1F0C">
        <w:rPr>
          <w:rFonts w:ascii="Times New Roman" w:hAnsi="Times New Roman" w:cs="Times New Roman"/>
          <w:sz w:val="20"/>
          <w:szCs w:val="20"/>
          <w:lang w:val="en-US"/>
        </w:rPr>
        <w:t>.</w:t>
      </w:r>
    </w:p>
    <w:p w:rsidR="00A24E8F" w:rsidRPr="00CF1F0C" w:rsidRDefault="00A24E8F" w:rsidP="000102F5">
      <w:pPr>
        <w:autoSpaceDE w:val="0"/>
        <w:autoSpaceDN w:val="0"/>
        <w:adjustRightInd w:val="0"/>
        <w:spacing w:line="360" w:lineRule="auto"/>
        <w:ind w:left="0" w:firstLine="0"/>
        <w:rPr>
          <w:rFonts w:ascii="Times New Roman" w:hAnsi="Times New Roman" w:cs="Times New Roman"/>
          <w:sz w:val="20"/>
          <w:szCs w:val="20"/>
          <w:lang w:val="en-US"/>
        </w:rPr>
      </w:pPr>
    </w:p>
    <w:p w:rsidR="00A24E8F" w:rsidRPr="00CF1F0C" w:rsidRDefault="00B322CA" w:rsidP="00B322CA">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Figure  1  displays  the  relationship  between  </w:t>
      </w:r>
      <w:r w:rsidR="0074447E" w:rsidRPr="00CF1F0C">
        <w:rPr>
          <w:rFonts w:ascii="Times New Roman" w:hAnsi="Times New Roman" w:cs="Times New Roman"/>
          <w:sz w:val="20"/>
          <w:szCs w:val="20"/>
          <w:lang w:val="en-US"/>
        </w:rPr>
        <w:t xml:space="preserve">Quality of public administration and skills recruitment </w:t>
      </w:r>
      <w:r w:rsidRPr="00CF1F0C">
        <w:rPr>
          <w:rFonts w:ascii="Times New Roman" w:hAnsi="Times New Roman" w:cs="Times New Roman"/>
          <w:sz w:val="20"/>
          <w:szCs w:val="20"/>
          <w:lang w:val="en-US"/>
        </w:rPr>
        <w:t xml:space="preserve">graphically  using  the </w:t>
      </w:r>
      <w:r w:rsidR="0074447E" w:rsidRPr="00CF1F0C">
        <w:rPr>
          <w:rFonts w:ascii="Times New Roman" w:hAnsi="Times New Roman" w:cs="Times New Roman"/>
          <w:sz w:val="20"/>
          <w:szCs w:val="20"/>
          <w:lang w:val="en-US"/>
        </w:rPr>
        <w:t>WGI</w:t>
      </w:r>
      <w:r w:rsidRPr="00CF1F0C">
        <w:rPr>
          <w:rFonts w:ascii="Times New Roman" w:hAnsi="Times New Roman" w:cs="Times New Roman"/>
          <w:sz w:val="20"/>
          <w:szCs w:val="20"/>
          <w:lang w:val="en-US"/>
        </w:rPr>
        <w:t xml:space="preserve"> Index score for the</w:t>
      </w:r>
      <w:r w:rsidR="0074447E" w:rsidRPr="00CF1F0C">
        <w:rPr>
          <w:rFonts w:ascii="Times New Roman" w:hAnsi="Times New Roman" w:cs="Times New Roman"/>
          <w:sz w:val="20"/>
          <w:szCs w:val="20"/>
          <w:lang w:val="en-US"/>
        </w:rPr>
        <w:t xml:space="preserve"> year </w:t>
      </w:r>
      <w:r w:rsidRPr="00CF1F0C">
        <w:rPr>
          <w:rFonts w:ascii="Times New Roman" w:hAnsi="Times New Roman" w:cs="Times New Roman"/>
          <w:sz w:val="20"/>
          <w:szCs w:val="20"/>
          <w:lang w:val="en-US"/>
        </w:rPr>
        <w:t xml:space="preserve">2010 and </w:t>
      </w:r>
      <w:r w:rsidR="0074447E" w:rsidRPr="00CF1F0C">
        <w:rPr>
          <w:rFonts w:ascii="Times New Roman" w:hAnsi="Times New Roman" w:cs="Times New Roman"/>
          <w:sz w:val="20"/>
          <w:szCs w:val="20"/>
          <w:lang w:val="en-US"/>
        </w:rPr>
        <w:t>merit recruitment</w:t>
      </w:r>
      <w:r w:rsidRPr="00CF1F0C">
        <w:rPr>
          <w:rFonts w:ascii="Times New Roman" w:hAnsi="Times New Roman" w:cs="Times New Roman"/>
          <w:sz w:val="20"/>
          <w:szCs w:val="20"/>
          <w:lang w:val="en-US"/>
        </w:rPr>
        <w:t>. The scatter plot reveals the v</w:t>
      </w:r>
      <w:r w:rsidR="00936D4C" w:rsidRPr="00CF1F0C">
        <w:rPr>
          <w:rFonts w:ascii="Times New Roman" w:hAnsi="Times New Roman" w:cs="Times New Roman"/>
          <w:sz w:val="20"/>
          <w:szCs w:val="20"/>
          <w:lang w:val="en-US"/>
        </w:rPr>
        <w:t xml:space="preserve">ariation of the relationship  among   countries. </w:t>
      </w:r>
      <w:r w:rsidRPr="00CF1F0C">
        <w:rPr>
          <w:rFonts w:ascii="Times New Roman" w:hAnsi="Times New Roman" w:cs="Times New Roman"/>
          <w:sz w:val="20"/>
          <w:szCs w:val="20"/>
          <w:lang w:val="en-US"/>
        </w:rPr>
        <w:t xml:space="preserve">Eastern European countries are clustered to the left, reflecting their lower levels of QoG. Western and Northern European countries are clustered in the upper right corner, reflecting both higher levels of QoG and higher levels of </w:t>
      </w:r>
      <w:r w:rsidR="00936D4C" w:rsidRPr="00CF1F0C">
        <w:rPr>
          <w:rFonts w:ascii="Times New Roman" w:hAnsi="Times New Roman" w:cs="Times New Roman"/>
          <w:sz w:val="20"/>
          <w:szCs w:val="20"/>
          <w:lang w:val="en-US"/>
        </w:rPr>
        <w:t>skill recruitment</w:t>
      </w:r>
      <w:r w:rsidRPr="00CF1F0C">
        <w:rPr>
          <w:rFonts w:ascii="Times New Roman" w:hAnsi="Times New Roman" w:cs="Times New Roman"/>
          <w:sz w:val="20"/>
          <w:szCs w:val="20"/>
          <w:lang w:val="en-US"/>
        </w:rPr>
        <w:t>.</w:t>
      </w:r>
    </w:p>
    <w:p w:rsidR="00936D4C" w:rsidRPr="00CF1F0C" w:rsidRDefault="00936D4C" w:rsidP="000102F5">
      <w:pPr>
        <w:autoSpaceDE w:val="0"/>
        <w:autoSpaceDN w:val="0"/>
        <w:adjustRightInd w:val="0"/>
        <w:spacing w:line="360" w:lineRule="auto"/>
        <w:ind w:left="0" w:firstLine="0"/>
        <w:rPr>
          <w:rFonts w:ascii="Times New Roman" w:hAnsi="Times New Roman" w:cs="Times New Roman"/>
          <w:sz w:val="20"/>
          <w:szCs w:val="20"/>
          <w:lang w:val="en-US"/>
        </w:rPr>
      </w:pPr>
    </w:p>
    <w:p w:rsidR="00172BBD" w:rsidRPr="00CF1F0C" w:rsidRDefault="00054EE7" w:rsidP="000102F5">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Figure 1</w:t>
      </w:r>
      <w:r w:rsidR="00A015E1" w:rsidRPr="00CF1F0C">
        <w:rPr>
          <w:rFonts w:ascii="Times New Roman" w:hAnsi="Times New Roman" w:cs="Times New Roman"/>
          <w:sz w:val="20"/>
          <w:szCs w:val="20"/>
          <w:lang w:val="en-US"/>
        </w:rPr>
        <w:t xml:space="preserve">. </w:t>
      </w:r>
      <w:r w:rsidR="00A24E8F" w:rsidRPr="00CF1F0C">
        <w:rPr>
          <w:rFonts w:ascii="Times New Roman" w:hAnsi="Times New Roman" w:cs="Times New Roman"/>
          <w:sz w:val="20"/>
          <w:szCs w:val="20"/>
          <w:lang w:val="en-US"/>
        </w:rPr>
        <w:t xml:space="preserve"> </w:t>
      </w:r>
      <w:r w:rsidR="008559D5" w:rsidRPr="00CF1F0C">
        <w:rPr>
          <w:rFonts w:ascii="Times New Roman" w:hAnsi="Times New Roman" w:cs="Times New Roman"/>
          <w:sz w:val="20"/>
          <w:szCs w:val="20"/>
          <w:lang w:val="en-US"/>
        </w:rPr>
        <w:t>Quality of public administration</w:t>
      </w:r>
      <w:r w:rsidR="00A24E8F" w:rsidRPr="00CF1F0C">
        <w:rPr>
          <w:rFonts w:ascii="Times New Roman" w:hAnsi="Times New Roman" w:cs="Times New Roman"/>
          <w:sz w:val="20"/>
          <w:szCs w:val="20"/>
          <w:lang w:val="en-US"/>
        </w:rPr>
        <w:t xml:space="preserve"> and skill</w:t>
      </w:r>
      <w:r w:rsidR="006233EC" w:rsidRPr="00CF1F0C">
        <w:rPr>
          <w:rFonts w:ascii="Times New Roman" w:hAnsi="Times New Roman" w:cs="Times New Roman"/>
          <w:sz w:val="20"/>
          <w:szCs w:val="20"/>
          <w:lang w:val="en-US"/>
        </w:rPr>
        <w:t>s</w:t>
      </w:r>
      <w:r w:rsidR="00A24E8F" w:rsidRPr="00CF1F0C">
        <w:rPr>
          <w:rFonts w:ascii="Times New Roman" w:hAnsi="Times New Roman" w:cs="Times New Roman"/>
          <w:sz w:val="20"/>
          <w:szCs w:val="20"/>
          <w:lang w:val="en-US"/>
        </w:rPr>
        <w:t xml:space="preserve"> </w:t>
      </w:r>
      <w:r w:rsidR="008559D5" w:rsidRPr="00CF1F0C">
        <w:rPr>
          <w:rFonts w:ascii="Times New Roman" w:hAnsi="Times New Roman" w:cs="Times New Roman"/>
          <w:sz w:val="20"/>
          <w:szCs w:val="20"/>
          <w:lang w:val="en-US"/>
        </w:rPr>
        <w:t xml:space="preserve">recruitment </w:t>
      </w:r>
    </w:p>
    <w:p w:rsidR="00914467" w:rsidRPr="00CF1F0C" w:rsidRDefault="00914467" w:rsidP="000102F5">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noProof/>
          <w:sz w:val="20"/>
          <w:szCs w:val="20"/>
          <w:lang w:eastAsia="pl-PL"/>
        </w:rPr>
        <w:drawing>
          <wp:inline distT="0" distB="0" distL="0" distR="0">
            <wp:extent cx="4238847" cy="309972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39091" cy="3099901"/>
                    </a:xfrm>
                    <a:prstGeom prst="rect">
                      <a:avLst/>
                    </a:prstGeom>
                    <a:noFill/>
                    <a:ln w="9525">
                      <a:noFill/>
                      <a:miter lim="800000"/>
                      <a:headEnd/>
                      <a:tailEnd/>
                    </a:ln>
                  </pic:spPr>
                </pic:pic>
              </a:graphicData>
            </a:graphic>
          </wp:inline>
        </w:drawing>
      </w:r>
    </w:p>
    <w:p w:rsidR="00CF456A" w:rsidRPr="00CF1F0C" w:rsidRDefault="008559D5" w:rsidP="000102F5">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Source: Own calculation (Torell dataset, WGI dataset)</w:t>
      </w:r>
    </w:p>
    <w:p w:rsidR="00172BBD" w:rsidRPr="00CF1F0C" w:rsidRDefault="00172BBD" w:rsidP="000102F5">
      <w:pPr>
        <w:autoSpaceDE w:val="0"/>
        <w:autoSpaceDN w:val="0"/>
        <w:adjustRightInd w:val="0"/>
        <w:spacing w:line="360" w:lineRule="auto"/>
        <w:ind w:left="0" w:firstLine="0"/>
        <w:jc w:val="both"/>
        <w:rPr>
          <w:rFonts w:ascii="Times New Roman" w:hAnsi="Times New Roman" w:cs="Times New Roman"/>
          <w:sz w:val="20"/>
          <w:szCs w:val="20"/>
          <w:lang w:val="en-US"/>
        </w:rPr>
      </w:pPr>
    </w:p>
    <w:p w:rsidR="00451FE4" w:rsidRPr="00CF1F0C" w:rsidRDefault="000102F5" w:rsidP="000102F5">
      <w:pPr>
        <w:autoSpaceDE w:val="0"/>
        <w:autoSpaceDN w:val="0"/>
        <w:adjustRightInd w:val="0"/>
        <w:spacing w:line="360" w:lineRule="auto"/>
        <w:ind w:left="0" w:firstLine="0"/>
        <w:jc w:val="both"/>
        <w:rPr>
          <w:rFonts w:ascii="Times New Roman" w:eastAsia="TimesNewRoman" w:hAnsi="Times New Roman" w:cs="Times New Roman"/>
          <w:sz w:val="20"/>
          <w:szCs w:val="20"/>
          <w:lang w:val="en-US"/>
        </w:rPr>
      </w:pPr>
      <w:r w:rsidRPr="00CF1F0C">
        <w:rPr>
          <w:rFonts w:ascii="Times New Roman" w:hAnsi="Times New Roman" w:cs="Times New Roman"/>
          <w:sz w:val="20"/>
          <w:szCs w:val="20"/>
          <w:lang w:val="en-US"/>
        </w:rPr>
        <w:t xml:space="preserve">The second view </w:t>
      </w:r>
      <w:r w:rsidR="00F91530" w:rsidRPr="00CF1F0C">
        <w:rPr>
          <w:rFonts w:ascii="Times New Roman" w:hAnsi="Times New Roman" w:cs="Times New Roman"/>
          <w:sz w:val="20"/>
          <w:szCs w:val="20"/>
          <w:lang w:val="en-US"/>
        </w:rPr>
        <w:t>is connected with h</w:t>
      </w:r>
      <w:r w:rsidRPr="00CF1F0C">
        <w:rPr>
          <w:rFonts w:ascii="Times New Roman" w:hAnsi="Times New Roman" w:cs="Times New Roman"/>
          <w:sz w:val="20"/>
          <w:szCs w:val="20"/>
          <w:lang w:val="en-US"/>
        </w:rPr>
        <w:t>uman capital theory</w:t>
      </w:r>
      <w:r w:rsidR="00F91530" w:rsidRPr="00CF1F0C">
        <w:rPr>
          <w:rFonts w:ascii="Times New Roman" w:hAnsi="Times New Roman" w:cs="Times New Roman"/>
          <w:sz w:val="20"/>
          <w:szCs w:val="20"/>
          <w:lang w:val="en-US"/>
        </w:rPr>
        <w:t xml:space="preserve"> which </w:t>
      </w:r>
      <w:r w:rsidRPr="00CF1F0C">
        <w:rPr>
          <w:rFonts w:ascii="Times New Roman" w:hAnsi="Times New Roman" w:cs="Times New Roman"/>
          <w:sz w:val="20"/>
          <w:szCs w:val="20"/>
          <w:lang w:val="en-US"/>
        </w:rPr>
        <w:t>reflecting how education increases skills. In this context, Dee (2004) finds that educational attainment has a large and statistically significant effect on voter participation and support for the freedom of speech. He also finds that additional schooling increases the quality of civic awareness as measured by the frequency of reading newspapers. Milligan, Moretti and Oreopoulos (2004) looks at the effect of extra schooling induced by compulsory schooling laws on the likelihood of becoming politically involved in the U.S. and U.K. They find that, in both of the countries, educational attainment is positively related to several measures of political interest and involvement. Boix and Posner (1998) argue t</w:t>
      </w:r>
      <w:r w:rsidR="005717AA" w:rsidRPr="00CF1F0C">
        <w:rPr>
          <w:rFonts w:ascii="Times New Roman" w:hAnsi="Times New Roman" w:cs="Times New Roman"/>
          <w:sz w:val="20"/>
          <w:szCs w:val="20"/>
          <w:lang w:val="en-US"/>
        </w:rPr>
        <w:t>hat good government depends on “</w:t>
      </w:r>
      <w:r w:rsidRPr="00CF1F0C">
        <w:rPr>
          <w:rFonts w:ascii="Times New Roman" w:hAnsi="Times New Roman" w:cs="Times New Roman"/>
          <w:sz w:val="20"/>
          <w:szCs w:val="20"/>
          <w:lang w:val="en-US"/>
        </w:rPr>
        <w:t>the ability of citizens to hold elected representatives accountable for the quality</w:t>
      </w:r>
      <w:r w:rsidR="005717AA" w:rsidRPr="00CF1F0C">
        <w:rPr>
          <w:rFonts w:ascii="Times New Roman" w:hAnsi="Times New Roman" w:cs="Times New Roman"/>
          <w:sz w:val="20"/>
          <w:szCs w:val="20"/>
          <w:lang w:val="en-US"/>
        </w:rPr>
        <w:t xml:space="preserve"> of the governance they provide”</w:t>
      </w:r>
      <w:r w:rsidRPr="00CF1F0C">
        <w:rPr>
          <w:rFonts w:ascii="Times New Roman" w:hAnsi="Times New Roman" w:cs="Times New Roman"/>
          <w:sz w:val="20"/>
          <w:szCs w:val="20"/>
          <w:lang w:val="en-US"/>
        </w:rPr>
        <w:t xml:space="preserve">. They suggest that education makes citizens </w:t>
      </w:r>
      <w:r w:rsidRPr="00CF1F0C">
        <w:rPr>
          <w:rFonts w:ascii="Times New Roman" w:hAnsi="Times New Roman" w:cs="Times New Roman"/>
          <w:iCs/>
          <w:sz w:val="20"/>
          <w:szCs w:val="20"/>
          <w:lang w:val="en-US"/>
        </w:rPr>
        <w:t xml:space="preserve">sophisticated consumers of politics </w:t>
      </w:r>
      <w:r w:rsidRPr="00CF1F0C">
        <w:rPr>
          <w:rFonts w:ascii="Times New Roman" w:hAnsi="Times New Roman" w:cs="Times New Roman"/>
          <w:sz w:val="20"/>
          <w:szCs w:val="20"/>
          <w:lang w:val="en-US"/>
        </w:rPr>
        <w:t xml:space="preserve">who monitor the government closely and are eager to punish underperforming governments for example in the ballot box or in protest. Therefore, in communities high in social capital political accountability will be greater, which leads to an improved government performance. The alternative view of education is a signaling theory where individuals become educated in order to demonstrate to prospective employers that they are able. This view would also lead us to expect more educated officials to be more competent so that education </w:t>
      </w:r>
      <w:r w:rsidRPr="00CF1F0C">
        <w:rPr>
          <w:rFonts w:ascii="Times New Roman" w:hAnsi="Times New Roman" w:cs="Times New Roman"/>
          <w:sz w:val="20"/>
          <w:szCs w:val="20"/>
          <w:lang w:val="en-US"/>
        </w:rPr>
        <w:lastRenderedPageBreak/>
        <w:t>could serve as a signal for competence. It is also reasonable to posit a link between educational attainment and public spiritedness. There is empirical evidence that more educated individuals are more civic minded. A human capital interpretation of this finding would suggest that part of the skill-set learned in education is an appreciation of the needs of others. Moreover, education would have a central role in the production of social capital. Djakanov et al. (2003) suggest that each community faces a set of institutional opportunities determined by the human and social capital of its population which, in turn, affect the quality of  government. Glaeser et al. (2004) produce empirical evidence in line with this view, and argue that,</w:t>
      </w:r>
      <w:r w:rsidR="00CF456A" w:rsidRPr="00CF1F0C">
        <w:rPr>
          <w:rFonts w:ascii="Times New Roman" w:hAnsi="Times New Roman" w:cs="Times New Roman"/>
          <w:sz w:val="20"/>
          <w:szCs w:val="20"/>
          <w:lang w:val="en-US"/>
        </w:rPr>
        <w:t xml:space="preserve"> as postulated by Lipset (</w:t>
      </w:r>
      <w:r w:rsidRPr="00CF1F0C">
        <w:rPr>
          <w:rFonts w:ascii="Times New Roman" w:hAnsi="Times New Roman" w:cs="Times New Roman"/>
          <w:sz w:val="20"/>
          <w:szCs w:val="20"/>
          <w:lang w:val="en-US"/>
        </w:rPr>
        <w:t xml:space="preserve">1960), human capital accumulation and growth cause institutional improvements. </w:t>
      </w:r>
      <w:r w:rsidRPr="00CF1F0C">
        <w:rPr>
          <w:rFonts w:ascii="Times New Roman" w:eastAsia="TimesNewRoman" w:hAnsi="Times New Roman" w:cs="Times New Roman"/>
          <w:sz w:val="20"/>
          <w:szCs w:val="20"/>
          <w:lang w:val="en-US"/>
        </w:rPr>
        <w:t xml:space="preserve">Botero, Ponce and Shleifer (2012) show that when the education level of the general population is high, citizens are more likely to effectively hold governments to account and thus instigate government discipline. </w:t>
      </w:r>
    </w:p>
    <w:p w:rsidR="00451FE4" w:rsidRPr="00CF1F0C" w:rsidRDefault="00451FE4" w:rsidP="000102F5">
      <w:pPr>
        <w:autoSpaceDE w:val="0"/>
        <w:autoSpaceDN w:val="0"/>
        <w:adjustRightInd w:val="0"/>
        <w:spacing w:line="360" w:lineRule="auto"/>
        <w:ind w:left="0" w:firstLine="0"/>
        <w:jc w:val="both"/>
        <w:rPr>
          <w:rFonts w:ascii="Times New Roman" w:eastAsia="TimesNewRoman" w:hAnsi="Times New Roman" w:cs="Times New Roman"/>
          <w:sz w:val="20"/>
          <w:szCs w:val="20"/>
          <w:lang w:val="en-US"/>
        </w:rPr>
      </w:pPr>
    </w:p>
    <w:p w:rsidR="00841385" w:rsidRPr="00CF1F0C" w:rsidRDefault="005717AA" w:rsidP="00CA4884">
      <w:pPr>
        <w:autoSpaceDE w:val="0"/>
        <w:autoSpaceDN w:val="0"/>
        <w:adjustRightInd w:val="0"/>
        <w:spacing w:line="360" w:lineRule="auto"/>
        <w:ind w:left="0" w:firstLine="0"/>
        <w:rPr>
          <w:rFonts w:ascii="Times New Roman" w:hAnsi="Times New Roman" w:cs="Times New Roman"/>
          <w:b/>
          <w:sz w:val="20"/>
          <w:szCs w:val="20"/>
          <w:lang w:val="en-US"/>
        </w:rPr>
      </w:pPr>
      <w:r w:rsidRPr="00CF1F0C">
        <w:rPr>
          <w:rFonts w:ascii="Times New Roman" w:hAnsi="Times New Roman" w:cs="Times New Roman"/>
          <w:b/>
          <w:sz w:val="20"/>
          <w:szCs w:val="20"/>
          <w:lang w:val="en-US"/>
        </w:rPr>
        <w:t>Quality of public administration</w:t>
      </w:r>
    </w:p>
    <w:p w:rsidR="00843C57" w:rsidRPr="00CF1F0C" w:rsidRDefault="00954358" w:rsidP="00CA4884">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In order to test the theoretical arguments, we need data on quality of administration and the structure of the bureaucracy. But measuring these qualities directly is difficult especially as, in practice, they are multi-dimensional concepts. </w:t>
      </w:r>
      <w:r w:rsidRPr="00CF1F0C">
        <w:rPr>
          <w:rFonts w:ascii="Times New Roman" w:hAnsi="Times New Roman" w:cs="Times New Roman"/>
          <w:color w:val="000000"/>
          <w:sz w:val="20"/>
          <w:szCs w:val="20"/>
          <w:lang w:val="en-US"/>
        </w:rPr>
        <w:t xml:space="preserve">How do we determine whether performance has improved or whether the quality of a certain public administration is better? There is no market value for measuring government outputs. “The” quality or “the” performance of bureaucracy is hard to measure, as we are dealing with quite diverse and not clearly delimited concepts. The authors refer to the quality of the bureaucracy, they quite frequently use a broad range of concepts. When it comes to measuring performance, and comparing performance of different governments, </w:t>
      </w:r>
      <w:r w:rsidRPr="00CF1F0C">
        <w:rPr>
          <w:rFonts w:ascii="Times New Roman" w:hAnsi="Times New Roman" w:cs="Times New Roman"/>
          <w:sz w:val="20"/>
          <w:szCs w:val="20"/>
          <w:lang w:val="en-US"/>
        </w:rPr>
        <w:t>scientist use specific indicators for example corruption as proxy for bureauc</w:t>
      </w:r>
      <w:r w:rsidR="005717AA" w:rsidRPr="00CF1F0C">
        <w:rPr>
          <w:rFonts w:ascii="Times New Roman" w:hAnsi="Times New Roman" w:cs="Times New Roman"/>
          <w:sz w:val="20"/>
          <w:szCs w:val="20"/>
          <w:lang w:val="en-US"/>
        </w:rPr>
        <w:t>ratic quality. Bai and Wei (2000) use “</w:t>
      </w:r>
      <w:r w:rsidRPr="00CF1F0C">
        <w:rPr>
          <w:rFonts w:ascii="Times New Roman" w:hAnsi="Times New Roman" w:cs="Times New Roman"/>
          <w:sz w:val="20"/>
          <w:szCs w:val="20"/>
          <w:lang w:val="en-US"/>
        </w:rPr>
        <w:t>quality of bureaucracy</w:t>
      </w:r>
      <w:r w:rsidR="005717AA" w:rsidRPr="00CF1F0C">
        <w:rPr>
          <w:rFonts w:ascii="Times New Roman" w:hAnsi="Times New Roman" w:cs="Times New Roman"/>
          <w:sz w:val="20"/>
          <w:szCs w:val="20"/>
          <w:lang w:val="en-US"/>
        </w:rPr>
        <w:t>”</w:t>
      </w:r>
      <w:r w:rsidRPr="00CF1F0C">
        <w:rPr>
          <w:rFonts w:ascii="Times New Roman" w:hAnsi="Times New Roman" w:cs="Times New Roman"/>
          <w:sz w:val="20"/>
          <w:szCs w:val="20"/>
          <w:lang w:val="en-US"/>
        </w:rPr>
        <w:t xml:space="preserve"> and in  research on economic efficiency reduce q</w:t>
      </w:r>
      <w:r w:rsidR="005717AA" w:rsidRPr="00CF1F0C">
        <w:rPr>
          <w:rFonts w:ascii="Times New Roman" w:hAnsi="Times New Roman" w:cs="Times New Roman"/>
          <w:sz w:val="20"/>
          <w:szCs w:val="20"/>
          <w:lang w:val="en-US"/>
        </w:rPr>
        <w:t>uality to absence of corruption</w:t>
      </w:r>
      <w:r w:rsidRPr="00CF1F0C">
        <w:rPr>
          <w:rFonts w:ascii="Times New Roman" w:hAnsi="Times New Roman" w:cs="Times New Roman"/>
          <w:sz w:val="20"/>
          <w:szCs w:val="20"/>
          <w:lang w:val="en-US"/>
        </w:rPr>
        <w:t>. Mauro uses an index of ethnic division of a country as proxy for institutional efficiency (Mauro, 1995).</w:t>
      </w:r>
      <w:r w:rsidR="006233EC" w:rsidRPr="00CF1F0C">
        <w:rPr>
          <w:rFonts w:ascii="Times New Roman" w:hAnsi="Times New Roman" w:cs="Times New Roman"/>
          <w:sz w:val="20"/>
          <w:szCs w:val="20"/>
          <w:lang w:val="en-US"/>
        </w:rPr>
        <w:t xml:space="preserve"> </w:t>
      </w:r>
    </w:p>
    <w:p w:rsidR="00A608BE" w:rsidRPr="00CF1F0C" w:rsidRDefault="00A608BE" w:rsidP="00A608BE">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To measure quality of administration, we employ data from different  sources. First measure of government rely on widely used World Bank </w:t>
      </w:r>
      <w:r w:rsidR="00C47808" w:rsidRPr="00CF1F0C">
        <w:rPr>
          <w:rFonts w:ascii="Times New Roman" w:hAnsi="Times New Roman" w:cs="Times New Roman"/>
          <w:sz w:val="20"/>
          <w:szCs w:val="20"/>
          <w:lang w:val="en-US"/>
        </w:rPr>
        <w:t>I</w:t>
      </w:r>
      <w:r w:rsidRPr="00CF1F0C">
        <w:rPr>
          <w:rFonts w:ascii="Times New Roman" w:hAnsi="Times New Roman" w:cs="Times New Roman"/>
          <w:sz w:val="20"/>
          <w:szCs w:val="20"/>
          <w:lang w:val="en-US"/>
        </w:rPr>
        <w:t xml:space="preserve">ndicators Government Effectiveness, combines perceptions of the quality of </w:t>
      </w:r>
      <w:r w:rsidR="00C47808" w:rsidRPr="00CF1F0C">
        <w:rPr>
          <w:rFonts w:ascii="Times New Roman" w:hAnsi="Times New Roman" w:cs="Times New Roman"/>
          <w:sz w:val="20"/>
          <w:szCs w:val="20"/>
          <w:lang w:val="en-US"/>
        </w:rPr>
        <w:t xml:space="preserve">public services and bureaucracy. </w:t>
      </w:r>
      <w:r w:rsidRPr="00CF1F0C">
        <w:rPr>
          <w:rFonts w:ascii="Times New Roman" w:hAnsi="Times New Roman" w:cs="Times New Roman"/>
          <w:color w:val="000000"/>
          <w:sz w:val="20"/>
          <w:szCs w:val="20"/>
          <w:lang w:val="en-US"/>
        </w:rPr>
        <w:t xml:space="preserve">Government effectiveness </w:t>
      </w:r>
      <w:r w:rsidR="00BD42DD" w:rsidRPr="00CF1F0C">
        <w:rPr>
          <w:rFonts w:ascii="Times New Roman" w:hAnsi="Times New Roman" w:cs="Times New Roman"/>
          <w:color w:val="000000"/>
          <w:sz w:val="20"/>
          <w:szCs w:val="20"/>
          <w:lang w:val="en-US"/>
        </w:rPr>
        <w:t xml:space="preserve">(variable in model: </w:t>
      </w:r>
      <w:r w:rsidR="0070398F" w:rsidRPr="00CF1F0C">
        <w:rPr>
          <w:rFonts w:ascii="Times New Roman" w:hAnsi="Times New Roman" w:cs="Times New Roman"/>
          <w:color w:val="000000"/>
          <w:sz w:val="20"/>
          <w:szCs w:val="20"/>
          <w:lang w:val="en-US"/>
        </w:rPr>
        <w:t>WGI</w:t>
      </w:r>
      <w:r w:rsidR="00BD42DD" w:rsidRPr="00CF1F0C">
        <w:rPr>
          <w:rFonts w:ascii="Times New Roman" w:eastAsia="Times New Roman" w:hAnsi="Times New Roman" w:cs="Times New Roman"/>
          <w:color w:val="000000"/>
          <w:sz w:val="20"/>
          <w:szCs w:val="20"/>
          <w:lang w:val="en-US" w:eastAsia="pl-PL"/>
        </w:rPr>
        <w:t>)</w:t>
      </w:r>
      <w:r w:rsidR="00BD42DD" w:rsidRPr="00CF1F0C">
        <w:rPr>
          <w:rFonts w:ascii="Times New Roman" w:hAnsi="Times New Roman" w:cs="Times New Roman"/>
          <w:color w:val="000000"/>
          <w:sz w:val="20"/>
          <w:szCs w:val="20"/>
          <w:lang w:val="en-US"/>
        </w:rPr>
        <w:t xml:space="preserve"> </w:t>
      </w:r>
      <w:r w:rsidRPr="00CF1F0C">
        <w:rPr>
          <w:rFonts w:ascii="Times New Roman" w:hAnsi="Times New Roman" w:cs="Times New Roman"/>
          <w:color w:val="000000"/>
          <w:sz w:val="20"/>
          <w:szCs w:val="20"/>
          <w:lang w:val="en-US"/>
        </w:rPr>
        <w:t>is measuring the competence of the bureaucracy and the qua</w:t>
      </w:r>
      <w:r w:rsidR="006233EC" w:rsidRPr="00CF1F0C">
        <w:rPr>
          <w:rFonts w:ascii="Times New Roman" w:hAnsi="Times New Roman" w:cs="Times New Roman"/>
          <w:color w:val="000000"/>
          <w:sz w:val="20"/>
          <w:szCs w:val="20"/>
          <w:lang w:val="en-US"/>
        </w:rPr>
        <w:t xml:space="preserve">lity of public service delivery </w:t>
      </w:r>
      <w:r w:rsidRPr="00CF1F0C">
        <w:rPr>
          <w:rFonts w:ascii="Times New Roman" w:hAnsi="Times New Roman" w:cs="Times New Roman"/>
          <w:sz w:val="20"/>
          <w:szCs w:val="20"/>
          <w:lang w:val="en-US"/>
        </w:rPr>
        <w:t>and scores range from -2.5 (lowest) to 2.5 (highest)</w:t>
      </w:r>
      <w:r w:rsidR="006233EC" w:rsidRPr="00CF1F0C">
        <w:rPr>
          <w:rFonts w:ascii="Times New Roman" w:hAnsi="Times New Roman" w:cs="Times New Roman"/>
          <w:sz w:val="20"/>
          <w:szCs w:val="20"/>
          <w:lang w:val="en-US"/>
        </w:rPr>
        <w:t xml:space="preserve"> (Kaufmann et al. 200</w:t>
      </w:r>
      <w:r w:rsidR="0070398F" w:rsidRPr="00CF1F0C">
        <w:rPr>
          <w:rFonts w:ascii="Times New Roman" w:hAnsi="Times New Roman" w:cs="Times New Roman"/>
          <w:sz w:val="20"/>
          <w:szCs w:val="20"/>
          <w:lang w:val="en-US"/>
        </w:rPr>
        <w:t>9</w:t>
      </w:r>
      <w:r w:rsidR="006233EC" w:rsidRPr="00CF1F0C">
        <w:rPr>
          <w:rFonts w:ascii="Times New Roman" w:hAnsi="Times New Roman" w:cs="Times New Roman"/>
          <w:sz w:val="20"/>
          <w:szCs w:val="20"/>
          <w:lang w:val="en-US"/>
        </w:rPr>
        <w:t>)</w:t>
      </w:r>
      <w:r w:rsidRPr="00CF1F0C">
        <w:rPr>
          <w:rFonts w:ascii="Times New Roman" w:hAnsi="Times New Roman" w:cs="Times New Roman"/>
          <w:sz w:val="20"/>
          <w:szCs w:val="20"/>
          <w:lang w:val="en-US"/>
        </w:rPr>
        <w:t>. Table 1 shows the scores for the 38 countries.</w:t>
      </w:r>
    </w:p>
    <w:p w:rsidR="00A608BE" w:rsidRPr="00CF1F0C" w:rsidRDefault="00A608BE" w:rsidP="00CA4884">
      <w:pPr>
        <w:autoSpaceDE w:val="0"/>
        <w:autoSpaceDN w:val="0"/>
        <w:adjustRightInd w:val="0"/>
        <w:spacing w:line="360" w:lineRule="auto"/>
        <w:ind w:left="0" w:firstLine="0"/>
        <w:jc w:val="both"/>
        <w:rPr>
          <w:rFonts w:ascii="Times New Roman" w:hAnsi="Times New Roman" w:cs="Times New Roman"/>
          <w:sz w:val="20"/>
          <w:szCs w:val="20"/>
          <w:lang w:val="en-US"/>
        </w:rPr>
      </w:pPr>
    </w:p>
    <w:p w:rsidR="0038338F" w:rsidRPr="00CF1F0C" w:rsidRDefault="00A015E1" w:rsidP="00CA4884">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Figure 2. </w:t>
      </w:r>
      <w:r w:rsidR="00ED72A3" w:rsidRPr="00CF1F0C">
        <w:rPr>
          <w:rFonts w:ascii="Times New Roman" w:hAnsi="Times New Roman" w:cs="Times New Roman"/>
          <w:sz w:val="20"/>
          <w:szCs w:val="20"/>
          <w:lang w:val="en-US"/>
        </w:rPr>
        <w:t>World Bank Governance Indicators</w:t>
      </w:r>
    </w:p>
    <w:p w:rsidR="00871AB9" w:rsidRPr="00CF1F0C" w:rsidRDefault="00871AB9" w:rsidP="00871AB9">
      <w:pPr>
        <w:autoSpaceDE w:val="0"/>
        <w:autoSpaceDN w:val="0"/>
        <w:adjustRightInd w:val="0"/>
        <w:ind w:left="0" w:firstLine="0"/>
        <w:rPr>
          <w:rFonts w:ascii="Times New Roman" w:hAnsi="Times New Roman" w:cs="Times New Roman"/>
          <w:sz w:val="20"/>
          <w:szCs w:val="20"/>
          <w:lang w:val="en-US"/>
        </w:rPr>
      </w:pPr>
    </w:p>
    <w:p w:rsidR="000C3572" w:rsidRPr="00CF1F0C" w:rsidRDefault="000C3572" w:rsidP="00871AB9">
      <w:pPr>
        <w:autoSpaceDE w:val="0"/>
        <w:autoSpaceDN w:val="0"/>
        <w:adjustRightInd w:val="0"/>
        <w:ind w:left="0" w:firstLine="0"/>
        <w:rPr>
          <w:rFonts w:ascii="Times New Roman" w:hAnsi="Times New Roman" w:cs="Times New Roman"/>
          <w:sz w:val="20"/>
          <w:szCs w:val="20"/>
          <w:lang w:val="en-US"/>
        </w:rPr>
      </w:pPr>
      <w:r w:rsidRPr="00CF1F0C">
        <w:rPr>
          <w:rFonts w:ascii="Times New Roman" w:hAnsi="Times New Roman" w:cs="Times New Roman"/>
          <w:noProof/>
          <w:sz w:val="20"/>
          <w:szCs w:val="20"/>
          <w:lang w:eastAsia="pl-PL"/>
        </w:rPr>
        <w:drawing>
          <wp:inline distT="0" distB="0" distL="0" distR="0">
            <wp:extent cx="5202865" cy="2169042"/>
            <wp:effectExtent l="0" t="0" r="0" b="0"/>
            <wp:docPr id="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338F" w:rsidRPr="00CF1F0C" w:rsidRDefault="0038338F" w:rsidP="00871AB9">
      <w:pPr>
        <w:autoSpaceDE w:val="0"/>
        <w:autoSpaceDN w:val="0"/>
        <w:adjustRightInd w:val="0"/>
        <w:ind w:left="0" w:firstLine="0"/>
        <w:rPr>
          <w:rFonts w:ascii="Times New Roman" w:hAnsi="Times New Roman" w:cs="Times New Roman"/>
          <w:sz w:val="20"/>
          <w:szCs w:val="20"/>
          <w:lang w:val="en-US"/>
        </w:rPr>
      </w:pPr>
      <w:r w:rsidRPr="00CF1F0C">
        <w:rPr>
          <w:rFonts w:ascii="Times New Roman" w:hAnsi="Times New Roman" w:cs="Times New Roman"/>
          <w:noProof/>
          <w:sz w:val="20"/>
          <w:szCs w:val="20"/>
          <w:lang w:eastAsia="pl-PL"/>
        </w:rPr>
        <w:lastRenderedPageBreak/>
        <w:drawing>
          <wp:inline distT="0" distB="0" distL="0" distR="0">
            <wp:extent cx="5245396" cy="2140689"/>
            <wp:effectExtent l="0" t="0" r="0" b="0"/>
            <wp:docPr id="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08BE" w:rsidRPr="00CF1F0C" w:rsidRDefault="00A608BE" w:rsidP="00A608BE">
      <w:pPr>
        <w:autoSpaceDE w:val="0"/>
        <w:autoSpaceDN w:val="0"/>
        <w:adjustRightInd w:val="0"/>
        <w:ind w:left="0" w:firstLine="708"/>
        <w:rPr>
          <w:rFonts w:ascii="Times New Roman" w:hAnsi="Times New Roman" w:cs="Times New Roman"/>
          <w:sz w:val="20"/>
          <w:szCs w:val="20"/>
          <w:lang w:val="en-US"/>
        </w:rPr>
      </w:pPr>
      <w:r w:rsidRPr="00CF1F0C">
        <w:rPr>
          <w:rFonts w:ascii="Times New Roman" w:hAnsi="Times New Roman" w:cs="Times New Roman"/>
          <w:sz w:val="20"/>
          <w:szCs w:val="20"/>
          <w:lang w:val="en-US"/>
        </w:rPr>
        <w:t>Sources The World Bank</w:t>
      </w:r>
      <w:r w:rsidR="00A015E1" w:rsidRPr="00CF1F0C">
        <w:rPr>
          <w:rFonts w:ascii="Times New Roman" w:hAnsi="Times New Roman" w:cs="Times New Roman"/>
          <w:sz w:val="20"/>
          <w:szCs w:val="20"/>
          <w:lang w:val="en-US"/>
        </w:rPr>
        <w:t xml:space="preserve">. World </w:t>
      </w:r>
      <w:r w:rsidRPr="00CF1F0C">
        <w:rPr>
          <w:rFonts w:ascii="Times New Roman" w:hAnsi="Times New Roman" w:cs="Times New Roman"/>
          <w:sz w:val="20"/>
          <w:szCs w:val="20"/>
          <w:lang w:val="en-US"/>
        </w:rPr>
        <w:t>Governance Indicators Dataset</w:t>
      </w:r>
    </w:p>
    <w:p w:rsidR="00A608BE" w:rsidRPr="00CF1F0C" w:rsidRDefault="00A608BE" w:rsidP="00ED72A3">
      <w:pPr>
        <w:autoSpaceDE w:val="0"/>
        <w:autoSpaceDN w:val="0"/>
        <w:adjustRightInd w:val="0"/>
        <w:spacing w:line="360" w:lineRule="auto"/>
        <w:ind w:left="0" w:firstLine="0"/>
        <w:jc w:val="both"/>
        <w:rPr>
          <w:rFonts w:ascii="Times New Roman" w:hAnsi="Times New Roman" w:cs="Times New Roman"/>
          <w:sz w:val="20"/>
          <w:szCs w:val="20"/>
          <w:lang w:val="en-US"/>
        </w:rPr>
      </w:pPr>
    </w:p>
    <w:p w:rsidR="00ED72A3" w:rsidRPr="00CF1F0C" w:rsidRDefault="006A7AC5" w:rsidP="00ED72A3">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After fifteen years Finland, Denmark and Sweden emerge as the best performing bureaucracies. Ukraine,</w:t>
      </w:r>
      <w:r w:rsidR="00ED72A3" w:rsidRPr="00CF1F0C">
        <w:rPr>
          <w:rFonts w:ascii="Times New Roman" w:hAnsi="Times New Roman" w:cs="Times New Roman"/>
          <w:sz w:val="20"/>
          <w:szCs w:val="20"/>
          <w:lang w:val="en-US"/>
        </w:rPr>
        <w:t xml:space="preserve"> Moldova</w:t>
      </w:r>
      <w:r w:rsidRPr="00CF1F0C">
        <w:rPr>
          <w:rFonts w:ascii="Times New Roman" w:hAnsi="Times New Roman" w:cs="Times New Roman"/>
          <w:sz w:val="20"/>
          <w:szCs w:val="20"/>
          <w:lang w:val="en-US"/>
        </w:rPr>
        <w:t xml:space="preserve"> and </w:t>
      </w:r>
      <w:r w:rsidR="00ED72A3" w:rsidRPr="00CF1F0C">
        <w:rPr>
          <w:rFonts w:ascii="Times New Roman" w:hAnsi="Times New Roman" w:cs="Times New Roman"/>
          <w:sz w:val="20"/>
          <w:szCs w:val="20"/>
          <w:lang w:val="en-US"/>
        </w:rPr>
        <w:t>Russia</w:t>
      </w:r>
      <w:r w:rsidRPr="00CF1F0C">
        <w:rPr>
          <w:rFonts w:ascii="Times New Roman" w:hAnsi="Times New Roman" w:cs="Times New Roman"/>
          <w:sz w:val="20"/>
          <w:szCs w:val="20"/>
          <w:lang w:val="en-US"/>
        </w:rPr>
        <w:t xml:space="preserve"> get the worst scores. Within the EU25,</w:t>
      </w:r>
      <w:r w:rsidR="00ED72A3"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 xml:space="preserve">Italy and </w:t>
      </w:r>
      <w:r w:rsidR="00ED72A3" w:rsidRPr="00CF1F0C">
        <w:rPr>
          <w:rFonts w:ascii="Times New Roman" w:hAnsi="Times New Roman" w:cs="Times New Roman"/>
          <w:sz w:val="20"/>
          <w:szCs w:val="20"/>
          <w:lang w:val="en-US"/>
        </w:rPr>
        <w:t>Greece are ranked the lowest, and they are clearly lower than the ones in 1996, the first year of measure.</w:t>
      </w:r>
      <w:r w:rsidR="00A608BE" w:rsidRPr="00CF1F0C">
        <w:rPr>
          <w:rFonts w:ascii="Times New Roman" w:hAnsi="Times New Roman" w:cs="Times New Roman"/>
          <w:sz w:val="20"/>
          <w:szCs w:val="20"/>
          <w:lang w:val="en-US"/>
        </w:rPr>
        <w:t xml:space="preserve"> T</w:t>
      </w:r>
      <w:r w:rsidR="00ED72A3" w:rsidRPr="00CF1F0C">
        <w:rPr>
          <w:rFonts w:ascii="Times New Roman" w:hAnsi="Times New Roman" w:cs="Times New Roman"/>
          <w:sz w:val="20"/>
          <w:szCs w:val="20"/>
          <w:lang w:val="en-US"/>
        </w:rPr>
        <w:t xml:space="preserve">he government performance of the </w:t>
      </w:r>
      <w:r w:rsidR="00ED72A3" w:rsidRPr="00CF1F0C">
        <w:rPr>
          <w:rFonts w:ascii="Times New Roman" w:hAnsi="Times New Roman" w:cs="Times New Roman"/>
          <w:bCs/>
          <w:sz w:val="20"/>
          <w:szCs w:val="20"/>
          <w:lang w:val="en-US"/>
        </w:rPr>
        <w:t>Post-Socialist Countries</w:t>
      </w:r>
      <w:r w:rsidR="00ED72A3" w:rsidRPr="00CF1F0C">
        <w:rPr>
          <w:rFonts w:ascii="Times New Roman" w:hAnsi="Times New Roman" w:cs="Times New Roman"/>
          <w:sz w:val="20"/>
          <w:szCs w:val="20"/>
          <w:lang w:val="en-US"/>
        </w:rPr>
        <w:t xml:space="preserve"> shows a mixed picture. </w:t>
      </w:r>
      <w:r w:rsidRPr="00CF1F0C">
        <w:rPr>
          <w:rFonts w:ascii="Times New Roman" w:hAnsi="Times New Roman" w:cs="Times New Roman"/>
          <w:sz w:val="20"/>
          <w:szCs w:val="20"/>
          <w:lang w:val="en-US"/>
        </w:rPr>
        <w:t>A number of Central and Eastern European countries</w:t>
      </w:r>
      <w:r w:rsidR="00ED72A3"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made significant progress since 1996. Government effectiveness scores increased for</w:t>
      </w:r>
      <w:r w:rsidR="00ED72A3" w:rsidRPr="00CF1F0C">
        <w:rPr>
          <w:rFonts w:ascii="Times New Roman" w:hAnsi="Times New Roman" w:cs="Times New Roman"/>
          <w:sz w:val="20"/>
          <w:szCs w:val="20"/>
          <w:lang w:val="en-US"/>
        </w:rPr>
        <w:t xml:space="preserve"> </w:t>
      </w:r>
      <w:r w:rsidR="00A608BE" w:rsidRPr="00CF1F0C">
        <w:rPr>
          <w:rFonts w:ascii="Times New Roman" w:hAnsi="Times New Roman" w:cs="Times New Roman"/>
          <w:sz w:val="20"/>
          <w:szCs w:val="20"/>
          <w:lang w:val="en-US"/>
        </w:rPr>
        <w:t xml:space="preserve">Croatia, Latvia, </w:t>
      </w:r>
      <w:r w:rsidRPr="00CF1F0C">
        <w:rPr>
          <w:rFonts w:ascii="Times New Roman" w:hAnsi="Times New Roman" w:cs="Times New Roman"/>
          <w:sz w:val="20"/>
          <w:szCs w:val="20"/>
          <w:lang w:val="en-US"/>
        </w:rPr>
        <w:t xml:space="preserve">Lithuania, Estonia. </w:t>
      </w:r>
      <w:r w:rsidR="00A608BE" w:rsidRPr="00CF1F0C">
        <w:rPr>
          <w:rFonts w:ascii="Times New Roman" w:hAnsi="Times New Roman" w:cs="Times New Roman"/>
          <w:sz w:val="20"/>
          <w:szCs w:val="20"/>
          <w:lang w:val="en-US"/>
        </w:rPr>
        <w:t xml:space="preserve">Czech Republic </w:t>
      </w:r>
      <w:r w:rsidRPr="00CF1F0C">
        <w:rPr>
          <w:rFonts w:ascii="Times New Roman" w:hAnsi="Times New Roman" w:cs="Times New Roman"/>
          <w:sz w:val="20"/>
          <w:szCs w:val="20"/>
          <w:lang w:val="en-US"/>
        </w:rPr>
        <w:t>is also among</w:t>
      </w:r>
      <w:r w:rsidR="00ED72A3"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the countries were scores have increased.</w:t>
      </w:r>
      <w:r w:rsidR="00ED72A3" w:rsidRPr="00CF1F0C">
        <w:rPr>
          <w:rFonts w:ascii="Times New Roman" w:hAnsi="Times New Roman" w:cs="Times New Roman"/>
          <w:sz w:val="20"/>
          <w:szCs w:val="20"/>
          <w:lang w:val="en-US"/>
        </w:rPr>
        <w:t xml:space="preserve"> On average, countries in Central and Eastern Europe (CEE) and the Baltics significantly outperformed those of the Commonwealth of Independent States (CIS), in which output </w:t>
      </w:r>
      <w:r w:rsidR="00A608BE" w:rsidRPr="00CF1F0C">
        <w:rPr>
          <w:rFonts w:ascii="Times New Roman" w:hAnsi="Times New Roman" w:cs="Times New Roman"/>
          <w:sz w:val="20"/>
          <w:szCs w:val="20"/>
          <w:lang w:val="en-US"/>
        </w:rPr>
        <w:t>is lower</w:t>
      </w:r>
      <w:r w:rsidR="00ED72A3" w:rsidRPr="00CF1F0C">
        <w:rPr>
          <w:rFonts w:ascii="Times New Roman" w:hAnsi="Times New Roman" w:cs="Times New Roman"/>
          <w:sz w:val="20"/>
          <w:szCs w:val="20"/>
          <w:lang w:val="en-US"/>
        </w:rPr>
        <w:t>.</w:t>
      </w:r>
    </w:p>
    <w:p w:rsidR="00C4240E" w:rsidRPr="00CF1F0C" w:rsidRDefault="00A608BE" w:rsidP="007607F3">
      <w:pPr>
        <w:autoSpaceDE w:val="0"/>
        <w:autoSpaceDN w:val="0"/>
        <w:adjustRightInd w:val="0"/>
        <w:spacing w:line="360" w:lineRule="auto"/>
        <w:ind w:left="0" w:firstLine="0"/>
        <w:jc w:val="both"/>
        <w:rPr>
          <w:rFonts w:ascii="Times New Roman" w:hAnsi="Times New Roman" w:cs="Times New Roman"/>
          <w:color w:val="000000"/>
          <w:sz w:val="20"/>
          <w:szCs w:val="20"/>
          <w:lang w:val="en-US"/>
        </w:rPr>
      </w:pPr>
      <w:r w:rsidRPr="00CF1F0C">
        <w:rPr>
          <w:rFonts w:ascii="Times New Roman" w:hAnsi="Times New Roman" w:cs="Times New Roman"/>
          <w:sz w:val="20"/>
          <w:szCs w:val="20"/>
          <w:lang w:val="en-US"/>
        </w:rPr>
        <w:t xml:space="preserve">We use also </w:t>
      </w:r>
      <w:r w:rsidR="004577A6" w:rsidRPr="00CF1F0C">
        <w:rPr>
          <w:rFonts w:ascii="Times New Roman" w:hAnsi="Times New Roman" w:cs="Times New Roman"/>
          <w:sz w:val="20"/>
          <w:szCs w:val="20"/>
          <w:lang w:val="en-US"/>
        </w:rPr>
        <w:t>Index of Bureaucracy Quality</w:t>
      </w:r>
      <w:r w:rsidR="000C3572" w:rsidRPr="00CF1F0C">
        <w:rPr>
          <w:rFonts w:ascii="Times New Roman" w:hAnsi="Times New Roman" w:cs="Times New Roman"/>
          <w:sz w:val="20"/>
          <w:szCs w:val="20"/>
          <w:lang w:val="en-US"/>
        </w:rPr>
        <w:t xml:space="preserve"> </w:t>
      </w:r>
      <w:r w:rsidR="00BD42DD" w:rsidRPr="00CF1F0C">
        <w:rPr>
          <w:rFonts w:ascii="Times New Roman" w:hAnsi="Times New Roman" w:cs="Times New Roman"/>
          <w:sz w:val="20"/>
          <w:szCs w:val="20"/>
          <w:lang w:val="en-US"/>
        </w:rPr>
        <w:t xml:space="preserve">(variable: </w:t>
      </w:r>
      <w:r w:rsidR="007607F3" w:rsidRPr="00CF1F0C">
        <w:rPr>
          <w:rFonts w:ascii="Times New Roman" w:hAnsi="Times New Roman" w:cs="Times New Roman"/>
          <w:sz w:val="20"/>
          <w:szCs w:val="20"/>
          <w:lang w:val="en-US"/>
        </w:rPr>
        <w:t>ICRG</w:t>
      </w:r>
      <w:r w:rsidR="00BD42DD" w:rsidRPr="00CF1F0C">
        <w:rPr>
          <w:rFonts w:ascii="Times New Roman" w:eastAsia="Times New Roman" w:hAnsi="Times New Roman" w:cs="Times New Roman"/>
          <w:color w:val="000000"/>
          <w:sz w:val="20"/>
          <w:szCs w:val="20"/>
          <w:lang w:val="en-US" w:eastAsia="pl-PL"/>
        </w:rPr>
        <w:t>)</w:t>
      </w:r>
      <w:r w:rsidR="00BD42DD" w:rsidRPr="00CF1F0C">
        <w:rPr>
          <w:rFonts w:ascii="Times New Roman" w:hAnsi="Times New Roman" w:cs="Times New Roman"/>
          <w:sz w:val="20"/>
          <w:szCs w:val="20"/>
          <w:lang w:val="en-US"/>
        </w:rPr>
        <w:t xml:space="preserve"> </w:t>
      </w:r>
      <w:r w:rsidR="00843C57" w:rsidRPr="00CF1F0C">
        <w:rPr>
          <w:rFonts w:ascii="Times New Roman" w:hAnsi="Times New Roman" w:cs="Times New Roman"/>
          <w:sz w:val="20"/>
          <w:szCs w:val="20"/>
          <w:lang w:val="en-US"/>
        </w:rPr>
        <w:t>drawn from the International Country Risk Guide (ICRG)</w:t>
      </w:r>
      <w:r w:rsidR="006233EC" w:rsidRPr="00CF1F0C">
        <w:rPr>
          <w:rStyle w:val="Odwoanieprzypisudolnego"/>
          <w:rFonts w:ascii="Times New Roman" w:hAnsi="Times New Roman" w:cs="Times New Roman"/>
          <w:sz w:val="20"/>
          <w:szCs w:val="20"/>
          <w:lang w:val="en-US"/>
        </w:rPr>
        <w:footnoteReference w:id="2"/>
      </w:r>
      <w:r w:rsidR="00954358" w:rsidRPr="00CF1F0C">
        <w:rPr>
          <w:rFonts w:ascii="Times New Roman" w:hAnsi="Times New Roman" w:cs="Times New Roman"/>
          <w:sz w:val="20"/>
          <w:szCs w:val="20"/>
          <w:lang w:val="en-US"/>
        </w:rPr>
        <w:t xml:space="preserve">. </w:t>
      </w:r>
      <w:r w:rsidR="007607F3" w:rsidRPr="00CF1F0C">
        <w:rPr>
          <w:rFonts w:ascii="Times New Roman" w:hAnsi="Times New Roman" w:cs="Times New Roman"/>
          <w:sz w:val="20"/>
          <w:szCs w:val="20"/>
          <w:lang w:val="en-US"/>
        </w:rPr>
        <w:t>We measure the quality of government with index obtained from the International Country Risk Guide (ICRG) built up by jointly considering corruption and competency indicators. In particular, our quality of government index (QOG) is the simple average of the ICRG variables “Corruption, Law and Order and Bureaucracy Quality.”Note that, in line with our model which suggests that less competent politicians endogenously adopt more predatory behaviours, corruption and bureaucracy quality are highly correlated in the data.</w:t>
      </w:r>
      <w:r w:rsidR="00843C57" w:rsidRPr="00CF1F0C">
        <w:rPr>
          <w:rFonts w:ascii="Times New Roman" w:hAnsi="Times New Roman" w:cs="Times New Roman"/>
          <w:sz w:val="20"/>
          <w:szCs w:val="20"/>
          <w:lang w:val="en-US"/>
        </w:rPr>
        <w:t xml:space="preserve"> Higher values indicate higher quality of government. H</w:t>
      </w:r>
      <w:r w:rsidR="00843C57" w:rsidRPr="00CF1F0C">
        <w:rPr>
          <w:rFonts w:ascii="Times New Roman" w:hAnsi="Times New Roman" w:cs="Times New Roman"/>
          <w:color w:val="000000"/>
          <w:sz w:val="20"/>
          <w:szCs w:val="20"/>
          <w:lang w:val="en-US"/>
        </w:rPr>
        <w:t>igh points are given to countries where the bureaucracy has tends to be somewhat autonomous from political pressure and to have an established mechanism for recruitment and training.</w:t>
      </w:r>
    </w:p>
    <w:p w:rsidR="00E55C66" w:rsidRPr="00CF1F0C" w:rsidRDefault="00843C57" w:rsidP="004577A6">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color w:val="000000"/>
          <w:sz w:val="20"/>
          <w:szCs w:val="20"/>
          <w:lang w:val="en-US"/>
        </w:rPr>
        <w:t xml:space="preserve"> </w:t>
      </w:r>
      <w:r w:rsidR="008851AE" w:rsidRPr="00CF1F0C">
        <w:rPr>
          <w:rFonts w:ascii="Times New Roman" w:hAnsi="Times New Roman" w:cs="Times New Roman"/>
          <w:color w:val="000000"/>
          <w:sz w:val="20"/>
          <w:szCs w:val="20"/>
          <w:lang w:val="en-US"/>
        </w:rPr>
        <w:t xml:space="preserve">In this paper we also </w:t>
      </w:r>
      <w:r w:rsidR="00954358" w:rsidRPr="00CF1F0C">
        <w:rPr>
          <w:rFonts w:ascii="Times New Roman" w:hAnsi="Times New Roman" w:cs="Times New Roman"/>
          <w:sz w:val="20"/>
          <w:szCs w:val="20"/>
          <w:lang w:val="en-US"/>
        </w:rPr>
        <w:t xml:space="preserve">use indicator </w:t>
      </w:r>
      <w:r w:rsidR="007607F3" w:rsidRPr="00CF1F0C">
        <w:rPr>
          <w:rFonts w:ascii="Times New Roman" w:hAnsi="Times New Roman" w:cs="Times New Roman"/>
          <w:sz w:val="20"/>
          <w:szCs w:val="20"/>
          <w:lang w:val="en-US"/>
        </w:rPr>
        <w:t xml:space="preserve"> from </w:t>
      </w:r>
      <w:r w:rsidR="00C47808" w:rsidRPr="00CF1F0C">
        <w:rPr>
          <w:rFonts w:ascii="Times New Roman" w:hAnsi="Times New Roman" w:cs="Times New Roman"/>
          <w:sz w:val="20"/>
          <w:szCs w:val="20"/>
          <w:lang w:val="en-US"/>
        </w:rPr>
        <w:t xml:space="preserve">“Quality </w:t>
      </w:r>
      <w:r w:rsidR="00E55C66" w:rsidRPr="00CF1F0C">
        <w:rPr>
          <w:rFonts w:ascii="Times New Roman" w:hAnsi="Times New Roman" w:cs="Times New Roman"/>
          <w:color w:val="000000"/>
          <w:sz w:val="20"/>
          <w:szCs w:val="20"/>
          <w:lang w:val="en-US"/>
        </w:rPr>
        <w:t xml:space="preserve">of Government Survey” </w:t>
      </w:r>
      <w:r w:rsidR="00BE30DF" w:rsidRPr="00CF1F0C">
        <w:rPr>
          <w:rFonts w:ascii="Times New Roman" w:hAnsi="Times New Roman" w:cs="Times New Roman"/>
          <w:color w:val="000000"/>
          <w:sz w:val="20"/>
          <w:szCs w:val="20"/>
          <w:lang w:val="en-US"/>
        </w:rPr>
        <w:t xml:space="preserve">(from Quality of Government Institute Quality) </w:t>
      </w:r>
      <w:r w:rsidR="00E55C66" w:rsidRPr="00CF1F0C">
        <w:rPr>
          <w:rFonts w:ascii="Times New Roman" w:hAnsi="Times New Roman" w:cs="Times New Roman"/>
          <w:color w:val="000000"/>
          <w:sz w:val="20"/>
          <w:szCs w:val="20"/>
          <w:lang w:val="en-US"/>
        </w:rPr>
        <w:t xml:space="preserve">based on a country-expert survey answered by public administration experts worldwide (Teorell 2008). </w:t>
      </w:r>
      <w:r w:rsidRPr="00CF1F0C">
        <w:rPr>
          <w:rFonts w:ascii="Times New Roman" w:hAnsi="Times New Roman" w:cs="Times New Roman"/>
          <w:sz w:val="20"/>
          <w:szCs w:val="20"/>
          <w:lang w:val="en-US"/>
        </w:rPr>
        <w:t>The general purpose of the survey is to measure the structu</w:t>
      </w:r>
      <w:r w:rsidR="00954358" w:rsidRPr="00CF1F0C">
        <w:rPr>
          <w:rFonts w:ascii="Times New Roman" w:hAnsi="Times New Roman" w:cs="Times New Roman"/>
          <w:sz w:val="20"/>
          <w:szCs w:val="20"/>
          <w:lang w:val="en-US"/>
        </w:rPr>
        <w:t>re and behavior of public admin</w:t>
      </w:r>
      <w:r w:rsidRPr="00CF1F0C">
        <w:rPr>
          <w:rFonts w:ascii="Times New Roman" w:hAnsi="Times New Roman" w:cs="Times New Roman"/>
          <w:sz w:val="20"/>
          <w:szCs w:val="20"/>
          <w:lang w:val="en-US"/>
        </w:rPr>
        <w:t>istration across countries. The survey covers a variety of topics which are seen as relevant to the structure and functioning of the public administration such as meritocratic recruitment, in</w:t>
      </w:r>
      <w:r w:rsidR="00954358" w:rsidRPr="00CF1F0C">
        <w:rPr>
          <w:rFonts w:ascii="Times New Roman" w:hAnsi="Times New Roman" w:cs="Times New Roman"/>
          <w:sz w:val="20"/>
          <w:szCs w:val="20"/>
          <w:lang w:val="en-US"/>
        </w:rPr>
        <w:t>ter</w:t>
      </w:r>
      <w:r w:rsidRPr="00CF1F0C">
        <w:rPr>
          <w:rFonts w:ascii="Times New Roman" w:hAnsi="Times New Roman" w:cs="Times New Roman"/>
          <w:sz w:val="20"/>
          <w:szCs w:val="20"/>
          <w:lang w:val="en-US"/>
        </w:rPr>
        <w:t>nal promotion</w:t>
      </w:r>
      <w:r w:rsidR="00954358" w:rsidRPr="00CF1F0C">
        <w:rPr>
          <w:rFonts w:ascii="Times New Roman" w:hAnsi="Times New Roman" w:cs="Times New Roman"/>
          <w:sz w:val="20"/>
          <w:szCs w:val="20"/>
          <w:lang w:val="en-US"/>
        </w:rPr>
        <w:t xml:space="preserve"> and career stability, salaries</w:t>
      </w:r>
      <w:r w:rsidRPr="00CF1F0C">
        <w:rPr>
          <w:rFonts w:ascii="Times New Roman" w:hAnsi="Times New Roman" w:cs="Times New Roman"/>
          <w:sz w:val="20"/>
          <w:szCs w:val="20"/>
          <w:lang w:val="en-US"/>
        </w:rPr>
        <w:t>.</w:t>
      </w:r>
      <w:r w:rsidR="00954358" w:rsidRPr="00CF1F0C">
        <w:rPr>
          <w:rFonts w:ascii="Times New Roman" w:hAnsi="Times New Roman" w:cs="Times New Roman"/>
          <w:sz w:val="20"/>
          <w:szCs w:val="20"/>
          <w:lang w:val="en-US"/>
        </w:rPr>
        <w:t xml:space="preserve"> </w:t>
      </w:r>
    </w:p>
    <w:p w:rsidR="00E33BE9" w:rsidRPr="00CF1F0C" w:rsidRDefault="00E33BE9" w:rsidP="00C4240E">
      <w:pPr>
        <w:autoSpaceDE w:val="0"/>
        <w:autoSpaceDN w:val="0"/>
        <w:adjustRightInd w:val="0"/>
        <w:spacing w:line="360" w:lineRule="auto"/>
        <w:ind w:left="0" w:firstLine="0"/>
        <w:jc w:val="both"/>
        <w:rPr>
          <w:rFonts w:ascii="Times New Roman" w:hAnsi="Times New Roman" w:cs="Times New Roman"/>
          <w:bCs/>
          <w:color w:val="000000" w:themeColor="text1"/>
          <w:sz w:val="20"/>
          <w:szCs w:val="20"/>
          <w:lang w:val="en-US"/>
        </w:rPr>
      </w:pPr>
      <w:r w:rsidRPr="00CF1F0C">
        <w:rPr>
          <w:rFonts w:ascii="Times New Roman" w:hAnsi="Times New Roman" w:cs="Times New Roman"/>
          <w:bCs/>
          <w:color w:val="000000" w:themeColor="text1"/>
          <w:sz w:val="20"/>
          <w:szCs w:val="20"/>
          <w:lang w:val="en-US"/>
        </w:rPr>
        <w:t xml:space="preserve">The dependent variable </w:t>
      </w:r>
      <w:r w:rsidR="00C4240E" w:rsidRPr="00CF1F0C">
        <w:rPr>
          <w:rFonts w:ascii="Times New Roman" w:hAnsi="Times New Roman" w:cs="Times New Roman"/>
          <w:bCs/>
          <w:color w:val="000000" w:themeColor="text1"/>
          <w:sz w:val="20"/>
          <w:szCs w:val="20"/>
          <w:lang w:val="en-US"/>
        </w:rPr>
        <w:t>(</w:t>
      </w:r>
      <w:r w:rsidR="00C4240E" w:rsidRPr="00CF1F0C">
        <w:rPr>
          <w:rFonts w:ascii="Times New Roman" w:hAnsi="Times New Roman" w:cs="Times New Roman"/>
          <w:color w:val="000000" w:themeColor="text1"/>
          <w:sz w:val="20"/>
          <w:szCs w:val="20"/>
          <w:lang w:val="en-US"/>
        </w:rPr>
        <w:t>skill</w:t>
      </w:r>
      <w:r w:rsidR="00C4240E" w:rsidRPr="00CF1F0C">
        <w:rPr>
          <w:rFonts w:ascii="Times New Roman" w:eastAsia="Times New Roman" w:hAnsi="Times New Roman" w:cs="Times New Roman"/>
          <w:color w:val="000000" w:themeColor="text1"/>
          <w:sz w:val="20"/>
          <w:szCs w:val="20"/>
          <w:lang w:val="en-US" w:eastAsia="pl-PL"/>
        </w:rPr>
        <w:t>_</w:t>
      </w:r>
      <w:r w:rsidR="00C95D2C" w:rsidRPr="00CF1F0C">
        <w:rPr>
          <w:rFonts w:ascii="Times New Roman" w:eastAsia="Times New Roman" w:hAnsi="Times New Roman" w:cs="Times New Roman"/>
          <w:color w:val="000000" w:themeColor="text1"/>
          <w:sz w:val="20"/>
          <w:szCs w:val="20"/>
          <w:lang w:val="en-US" w:eastAsia="pl-PL"/>
        </w:rPr>
        <w:t>adm</w:t>
      </w:r>
      <w:r w:rsidR="00C4240E" w:rsidRPr="00CF1F0C">
        <w:rPr>
          <w:rFonts w:ascii="Times New Roman" w:hAnsi="Times New Roman" w:cs="Times New Roman"/>
          <w:bCs/>
          <w:color w:val="000000" w:themeColor="text1"/>
          <w:sz w:val="20"/>
          <w:szCs w:val="20"/>
          <w:lang w:val="en-US"/>
        </w:rPr>
        <w:t xml:space="preserve">) </w:t>
      </w:r>
      <w:r w:rsidRPr="00CF1F0C">
        <w:rPr>
          <w:rFonts w:ascii="Times New Roman" w:hAnsi="Times New Roman" w:cs="Times New Roman"/>
          <w:bCs/>
          <w:color w:val="000000" w:themeColor="text1"/>
          <w:sz w:val="20"/>
          <w:szCs w:val="20"/>
          <w:lang w:val="en-US"/>
        </w:rPr>
        <w:t>is the degree of meritocracy in recruitmen</w:t>
      </w:r>
      <w:r w:rsidR="00C4240E" w:rsidRPr="00CF1F0C">
        <w:rPr>
          <w:rFonts w:ascii="Times New Roman" w:hAnsi="Times New Roman" w:cs="Times New Roman"/>
          <w:bCs/>
          <w:color w:val="000000" w:themeColor="text1"/>
          <w:sz w:val="20"/>
          <w:szCs w:val="20"/>
          <w:lang w:val="en-US"/>
        </w:rPr>
        <w:t>t, measured as the country aver</w:t>
      </w:r>
      <w:r w:rsidRPr="00CF1F0C">
        <w:rPr>
          <w:rFonts w:ascii="Times New Roman" w:hAnsi="Times New Roman" w:cs="Times New Roman"/>
          <w:bCs/>
          <w:color w:val="000000" w:themeColor="text1"/>
          <w:sz w:val="20"/>
          <w:szCs w:val="20"/>
          <w:lang w:val="en-US"/>
        </w:rPr>
        <w:t>age of the answer to a question where the respondents are asked t</w:t>
      </w:r>
      <w:r w:rsidR="00C4240E" w:rsidRPr="00CF1F0C">
        <w:rPr>
          <w:rFonts w:ascii="Times New Roman" w:hAnsi="Times New Roman" w:cs="Times New Roman"/>
          <w:bCs/>
          <w:color w:val="000000" w:themeColor="text1"/>
          <w:sz w:val="20"/>
          <w:szCs w:val="20"/>
          <w:lang w:val="en-US"/>
        </w:rPr>
        <w:t>o evaluate how often the follow</w:t>
      </w:r>
      <w:r w:rsidRPr="00CF1F0C">
        <w:rPr>
          <w:rFonts w:ascii="Times New Roman" w:hAnsi="Times New Roman" w:cs="Times New Roman"/>
          <w:bCs/>
          <w:color w:val="000000" w:themeColor="text1"/>
          <w:sz w:val="20"/>
          <w:szCs w:val="20"/>
          <w:lang w:val="en-US"/>
        </w:rPr>
        <w:t>ing statement applies: When recruiting public sector employees, the</w:t>
      </w:r>
      <w:r w:rsidR="00C4240E" w:rsidRPr="00CF1F0C">
        <w:rPr>
          <w:rFonts w:ascii="Times New Roman" w:hAnsi="Times New Roman" w:cs="Times New Roman"/>
          <w:bCs/>
          <w:color w:val="000000" w:themeColor="text1"/>
          <w:sz w:val="20"/>
          <w:szCs w:val="20"/>
          <w:lang w:val="en-US"/>
        </w:rPr>
        <w:t xml:space="preserve"> skills and merits of the appli</w:t>
      </w:r>
      <w:r w:rsidRPr="00CF1F0C">
        <w:rPr>
          <w:rFonts w:ascii="Times New Roman" w:hAnsi="Times New Roman" w:cs="Times New Roman"/>
          <w:bCs/>
          <w:color w:val="000000" w:themeColor="text1"/>
          <w:sz w:val="20"/>
          <w:szCs w:val="20"/>
          <w:lang w:val="en-US"/>
        </w:rPr>
        <w:t>cants</w:t>
      </w:r>
      <w:r w:rsidR="00C4240E" w:rsidRPr="00CF1F0C">
        <w:rPr>
          <w:rFonts w:ascii="Times New Roman" w:hAnsi="Times New Roman" w:cs="Times New Roman"/>
          <w:bCs/>
          <w:color w:val="000000" w:themeColor="text1"/>
          <w:sz w:val="20"/>
          <w:szCs w:val="20"/>
          <w:lang w:val="en-US"/>
        </w:rPr>
        <w:t xml:space="preserve">  decide  who  gets  the  job?</w:t>
      </w:r>
      <w:r w:rsidRPr="00CF1F0C">
        <w:rPr>
          <w:rFonts w:ascii="Times New Roman" w:hAnsi="Times New Roman" w:cs="Times New Roman"/>
          <w:bCs/>
          <w:color w:val="000000" w:themeColor="text1"/>
          <w:sz w:val="20"/>
          <w:szCs w:val="20"/>
          <w:lang w:val="en-US"/>
        </w:rPr>
        <w:t xml:space="preserve">  The question thus captures the </w:t>
      </w:r>
      <w:r w:rsidR="00C4240E" w:rsidRPr="00CF1F0C">
        <w:rPr>
          <w:rFonts w:ascii="Times New Roman" w:hAnsi="Times New Roman" w:cs="Times New Roman"/>
          <w:bCs/>
          <w:color w:val="000000" w:themeColor="text1"/>
          <w:sz w:val="20"/>
          <w:szCs w:val="20"/>
          <w:lang w:val="en-US"/>
        </w:rPr>
        <w:t>level of meritocracy in recruit</w:t>
      </w:r>
      <w:r w:rsidRPr="00CF1F0C">
        <w:rPr>
          <w:rFonts w:ascii="Times New Roman" w:hAnsi="Times New Roman" w:cs="Times New Roman"/>
          <w:bCs/>
          <w:color w:val="000000" w:themeColor="text1"/>
          <w:sz w:val="20"/>
          <w:szCs w:val="20"/>
          <w:lang w:val="en-US"/>
        </w:rPr>
        <w:t xml:space="preserve">ment, regardless of the procedures used. </w:t>
      </w:r>
      <w:r w:rsidRPr="00CF1F0C">
        <w:rPr>
          <w:rFonts w:ascii="Times New Roman" w:hAnsi="Times New Roman" w:cs="Times New Roman"/>
          <w:bCs/>
          <w:color w:val="000000" w:themeColor="text1"/>
          <w:sz w:val="20"/>
          <w:szCs w:val="20"/>
          <w:lang w:val="en-US"/>
        </w:rPr>
        <w:lastRenderedPageBreak/>
        <w:t xml:space="preserve">Meritocracy in recruitment consists both of the absence of undue influence over the recruitment process, but also of the presence of mechanisms which find the best candidates. </w:t>
      </w:r>
    </w:p>
    <w:p w:rsidR="00C4240E" w:rsidRPr="00CF1F0C" w:rsidRDefault="00C4240E" w:rsidP="00C4240E">
      <w:pPr>
        <w:autoSpaceDE w:val="0"/>
        <w:autoSpaceDN w:val="0"/>
        <w:adjustRightInd w:val="0"/>
        <w:spacing w:line="360" w:lineRule="auto"/>
        <w:ind w:left="0" w:firstLine="0"/>
        <w:rPr>
          <w:rFonts w:ascii="Times New Roman" w:hAnsi="Times New Roman" w:cs="Times New Roman"/>
          <w:b/>
          <w:bCs/>
          <w:color w:val="FF0000"/>
          <w:sz w:val="20"/>
          <w:szCs w:val="20"/>
          <w:lang w:val="en-US"/>
        </w:rPr>
      </w:pPr>
    </w:p>
    <w:p w:rsidR="004577A6" w:rsidRPr="00CF1F0C" w:rsidRDefault="00954358" w:rsidP="00954358">
      <w:pPr>
        <w:autoSpaceDE w:val="0"/>
        <w:autoSpaceDN w:val="0"/>
        <w:adjustRightInd w:val="0"/>
        <w:spacing w:line="360" w:lineRule="auto"/>
        <w:ind w:left="0" w:firstLine="0"/>
        <w:rPr>
          <w:rFonts w:ascii="Times New Roman" w:hAnsi="Times New Roman" w:cs="Times New Roman"/>
          <w:b/>
          <w:bCs/>
          <w:sz w:val="20"/>
          <w:szCs w:val="20"/>
          <w:lang w:val="en-US"/>
        </w:rPr>
      </w:pPr>
      <w:r w:rsidRPr="00CF1F0C">
        <w:rPr>
          <w:rFonts w:ascii="Times New Roman" w:hAnsi="Times New Roman" w:cs="Times New Roman"/>
          <w:b/>
          <w:bCs/>
          <w:sz w:val="20"/>
          <w:szCs w:val="20"/>
          <w:lang w:val="en-US"/>
        </w:rPr>
        <w:t>Model and variables</w:t>
      </w:r>
    </w:p>
    <w:p w:rsidR="00FF3ECE" w:rsidRPr="00CF1F0C" w:rsidRDefault="00FF3ECE" w:rsidP="0070398F">
      <w:pPr>
        <w:autoSpaceDE w:val="0"/>
        <w:autoSpaceDN w:val="0"/>
        <w:adjustRightInd w:val="0"/>
        <w:spacing w:line="360" w:lineRule="auto"/>
        <w:ind w:left="0" w:firstLine="0"/>
        <w:jc w:val="both"/>
        <w:rPr>
          <w:rFonts w:ascii="Times New Roman" w:hAnsi="Times New Roman" w:cs="Times New Roman"/>
          <w:bCs/>
          <w:sz w:val="20"/>
          <w:szCs w:val="20"/>
          <w:lang w:val="en-US"/>
        </w:rPr>
      </w:pPr>
      <w:r w:rsidRPr="00CF1F0C">
        <w:rPr>
          <w:rFonts w:ascii="Times New Roman" w:hAnsi="Times New Roman" w:cs="Times New Roman"/>
          <w:bCs/>
          <w:sz w:val="20"/>
          <w:szCs w:val="20"/>
          <w:lang w:val="en-US"/>
        </w:rPr>
        <w:t xml:space="preserve">To test the relationship between </w:t>
      </w:r>
      <w:r w:rsidR="00EA6000" w:rsidRPr="00CF1F0C">
        <w:rPr>
          <w:rFonts w:ascii="Times New Roman" w:hAnsi="Times New Roman" w:cs="Times New Roman"/>
          <w:bCs/>
          <w:sz w:val="20"/>
          <w:szCs w:val="20"/>
          <w:lang w:val="en-US"/>
        </w:rPr>
        <w:t>education</w:t>
      </w:r>
      <w:r w:rsidRPr="00CF1F0C">
        <w:rPr>
          <w:rFonts w:ascii="Times New Roman" w:hAnsi="Times New Roman" w:cs="Times New Roman"/>
          <w:bCs/>
          <w:sz w:val="20"/>
          <w:szCs w:val="20"/>
          <w:lang w:val="en-US"/>
        </w:rPr>
        <w:t xml:space="preserve"> level </w:t>
      </w:r>
      <w:r w:rsidR="00EA6000" w:rsidRPr="00CF1F0C">
        <w:rPr>
          <w:rFonts w:ascii="Times New Roman" w:hAnsi="Times New Roman" w:cs="Times New Roman"/>
          <w:bCs/>
          <w:sz w:val="20"/>
          <w:szCs w:val="20"/>
          <w:lang w:val="en-US"/>
        </w:rPr>
        <w:t>and t</w:t>
      </w:r>
      <w:r w:rsidRPr="00CF1F0C">
        <w:rPr>
          <w:rFonts w:ascii="Times New Roman" w:hAnsi="Times New Roman" w:cs="Times New Roman"/>
          <w:bCs/>
          <w:sz w:val="20"/>
          <w:szCs w:val="20"/>
          <w:lang w:val="en-US"/>
        </w:rPr>
        <w:t xml:space="preserve">he public sector and government performance, we will use an ordinary least squares (OLS) regression model. We will run regressions using government  performance  level  (assessed  using  different  indicators)  as  the  independent variable, </w:t>
      </w:r>
      <w:r w:rsidR="00EA6000" w:rsidRPr="00CF1F0C">
        <w:rPr>
          <w:rFonts w:ascii="Times New Roman" w:hAnsi="Times New Roman" w:cs="Times New Roman"/>
          <w:bCs/>
          <w:sz w:val="20"/>
          <w:szCs w:val="20"/>
          <w:lang w:val="en-US"/>
        </w:rPr>
        <w:t xml:space="preserve">education </w:t>
      </w:r>
      <w:r w:rsidRPr="00CF1F0C">
        <w:rPr>
          <w:rFonts w:ascii="Times New Roman" w:hAnsi="Times New Roman" w:cs="Times New Roman"/>
          <w:bCs/>
          <w:sz w:val="20"/>
          <w:szCs w:val="20"/>
          <w:lang w:val="en-US"/>
        </w:rPr>
        <w:t xml:space="preserve">level </w:t>
      </w:r>
      <w:r w:rsidR="00EA6000" w:rsidRPr="00CF1F0C">
        <w:rPr>
          <w:rFonts w:ascii="Times New Roman" w:hAnsi="Times New Roman" w:cs="Times New Roman"/>
          <w:bCs/>
          <w:sz w:val="20"/>
          <w:szCs w:val="20"/>
          <w:lang w:val="en-US"/>
        </w:rPr>
        <w:t xml:space="preserve">and quality </w:t>
      </w:r>
      <w:r w:rsidRPr="00CF1F0C">
        <w:rPr>
          <w:rFonts w:ascii="Times New Roman" w:hAnsi="Times New Roman" w:cs="Times New Roman"/>
          <w:bCs/>
          <w:sz w:val="20"/>
          <w:szCs w:val="20"/>
          <w:lang w:val="en-US"/>
        </w:rPr>
        <w:t>as the dependent variable, and macro-economic indicators  as  contro</w:t>
      </w:r>
      <w:r w:rsidR="00EA6000" w:rsidRPr="00CF1F0C">
        <w:rPr>
          <w:rFonts w:ascii="Times New Roman" w:hAnsi="Times New Roman" w:cs="Times New Roman"/>
          <w:bCs/>
          <w:sz w:val="20"/>
          <w:szCs w:val="20"/>
          <w:lang w:val="en-US"/>
        </w:rPr>
        <w:t>l  variables</w:t>
      </w:r>
      <w:r w:rsidRPr="00CF1F0C">
        <w:rPr>
          <w:rFonts w:ascii="Times New Roman" w:hAnsi="Times New Roman" w:cs="Times New Roman"/>
          <w:bCs/>
          <w:sz w:val="20"/>
          <w:szCs w:val="20"/>
          <w:lang w:val="en-US"/>
        </w:rPr>
        <w:t>.  The following  equation  shows  the  model:</w:t>
      </w:r>
    </w:p>
    <w:p w:rsidR="00C95D2C" w:rsidRPr="00CF1F0C" w:rsidRDefault="00C95D2C" w:rsidP="00C95D2C">
      <w:pPr>
        <w:autoSpaceDE w:val="0"/>
        <w:autoSpaceDN w:val="0"/>
        <w:adjustRightInd w:val="0"/>
        <w:spacing w:line="360" w:lineRule="auto"/>
        <w:ind w:left="0" w:firstLine="0"/>
        <w:rPr>
          <w:rFonts w:ascii="Times New Roman" w:hAnsi="Times New Roman" w:cs="Times New Roman"/>
          <w:bCs/>
          <w:sz w:val="20"/>
          <w:szCs w:val="20"/>
          <w:lang w:val="en-US"/>
        </w:rPr>
      </w:pPr>
    </w:p>
    <w:p w:rsidR="00954358" w:rsidRPr="00CF1F0C" w:rsidRDefault="00954358" w:rsidP="00954358">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Quality of Government = </w:t>
      </w:r>
      <w:r w:rsidR="00407D54" w:rsidRPr="00CF1F0C">
        <w:rPr>
          <w:rFonts w:ascii="Times New Roman" w:eastAsia="Calibri" w:hAnsi="Times New Roman" w:cs="Times New Roman"/>
          <w:sz w:val="20"/>
          <w:szCs w:val="20"/>
          <w:lang w:val="en-US"/>
        </w:rPr>
        <w:t xml:space="preserve"> </w:t>
      </w:r>
      <w:r w:rsidR="00407D54" w:rsidRPr="00CF1F0C">
        <w:rPr>
          <w:rFonts w:ascii="Times New Roman" w:eastAsia="Calibri" w:hAnsi="Times New Roman" w:cs="Times New Roman"/>
          <w:sz w:val="20"/>
          <w:szCs w:val="20"/>
        </w:rPr>
        <w:sym w:font="Symbol" w:char="F061"/>
      </w:r>
      <w:r w:rsidR="00407D54" w:rsidRPr="00CF1F0C">
        <w:rPr>
          <w:rFonts w:ascii="Times New Roman" w:eastAsia="Calibri" w:hAnsi="Times New Roman" w:cs="Times New Roman"/>
          <w:sz w:val="20"/>
          <w:szCs w:val="20"/>
          <w:lang w:val="en-US"/>
        </w:rPr>
        <w:t xml:space="preserve"> + </w:t>
      </w:r>
      <w:r w:rsidR="00407D54" w:rsidRPr="00CF1F0C">
        <w:rPr>
          <w:rFonts w:ascii="Times New Roman" w:eastAsia="Calibri" w:hAnsi="Times New Roman" w:cs="Times New Roman"/>
          <w:sz w:val="20"/>
          <w:szCs w:val="20"/>
        </w:rPr>
        <w:sym w:font="Symbol" w:char="F062"/>
      </w:r>
      <w:r w:rsidR="00407D54" w:rsidRPr="00CF1F0C">
        <w:rPr>
          <w:rFonts w:ascii="Times New Roman" w:eastAsia="Calibri" w:hAnsi="Times New Roman" w:cs="Times New Roman"/>
          <w:sz w:val="20"/>
          <w:szCs w:val="20"/>
          <w:vertAlign w:val="subscript"/>
          <w:lang w:val="en-US"/>
        </w:rPr>
        <w:t>1</w:t>
      </w:r>
      <w:r w:rsidR="00407D54" w:rsidRPr="00CF1F0C">
        <w:rPr>
          <w:rFonts w:ascii="Times New Roman" w:eastAsia="Calibri" w:hAnsi="Times New Roman" w:cs="Times New Roman"/>
          <w:sz w:val="20"/>
          <w:szCs w:val="20"/>
          <w:lang w:val="en-US"/>
        </w:rPr>
        <w:t xml:space="preserve"> Educ + </w:t>
      </w:r>
      <w:r w:rsidR="00407D54" w:rsidRPr="00CF1F0C">
        <w:rPr>
          <w:rFonts w:ascii="Times New Roman" w:eastAsia="Calibri" w:hAnsi="Times New Roman" w:cs="Times New Roman"/>
          <w:sz w:val="20"/>
          <w:szCs w:val="20"/>
        </w:rPr>
        <w:sym w:font="Symbol" w:char="F062"/>
      </w:r>
      <w:r w:rsidR="00407D54" w:rsidRPr="00CF1F0C">
        <w:rPr>
          <w:rFonts w:ascii="Times New Roman" w:eastAsia="Calibri" w:hAnsi="Times New Roman" w:cs="Times New Roman"/>
          <w:sz w:val="20"/>
          <w:szCs w:val="20"/>
          <w:vertAlign w:val="subscript"/>
          <w:lang w:val="en-US"/>
        </w:rPr>
        <w:t>2</w:t>
      </w:r>
      <w:r w:rsidR="00407D54" w:rsidRPr="00CF1F0C">
        <w:rPr>
          <w:rFonts w:ascii="Times New Roman" w:eastAsia="Calibri" w:hAnsi="Times New Roman" w:cs="Times New Roman"/>
          <w:sz w:val="20"/>
          <w:szCs w:val="20"/>
          <w:lang w:val="en-US"/>
        </w:rPr>
        <w:t xml:space="preserve"> </w:t>
      </w:r>
      <w:r w:rsidR="00407D54" w:rsidRPr="00CF1F0C">
        <w:rPr>
          <w:rFonts w:ascii="Times New Roman" w:hAnsi="Times New Roman" w:cs="Times New Roman"/>
          <w:sz w:val="20"/>
          <w:szCs w:val="20"/>
          <w:lang w:val="en-US"/>
        </w:rPr>
        <w:t>control</w:t>
      </w:r>
      <w:r w:rsidR="00407D54" w:rsidRPr="00CF1F0C">
        <w:rPr>
          <w:rFonts w:ascii="Times New Roman" w:eastAsia="Calibri" w:hAnsi="Times New Roman" w:cs="Times New Roman"/>
          <w:sz w:val="20"/>
          <w:szCs w:val="20"/>
          <w:lang w:val="en-US"/>
        </w:rPr>
        <w:t xml:space="preserve"> + e</w:t>
      </w:r>
    </w:p>
    <w:p w:rsidR="00777341" w:rsidRPr="00CF1F0C" w:rsidRDefault="00777341" w:rsidP="00954358">
      <w:pPr>
        <w:autoSpaceDE w:val="0"/>
        <w:autoSpaceDN w:val="0"/>
        <w:adjustRightInd w:val="0"/>
        <w:spacing w:line="360" w:lineRule="auto"/>
        <w:ind w:left="0" w:firstLine="0"/>
        <w:rPr>
          <w:rFonts w:ascii="Times New Roman" w:hAnsi="Times New Roman" w:cs="Times New Roman"/>
          <w:sz w:val="20"/>
          <w:szCs w:val="20"/>
          <w:lang w:val="en-US"/>
        </w:rPr>
      </w:pPr>
    </w:p>
    <w:p w:rsidR="00954358" w:rsidRPr="00CF1F0C" w:rsidRDefault="00954358" w:rsidP="00954358">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The variables employed are:</w:t>
      </w:r>
    </w:p>
    <w:p w:rsidR="00EC3789" w:rsidRPr="00CF1F0C" w:rsidRDefault="002D5F89" w:rsidP="0070398F">
      <w:pPr>
        <w:pStyle w:val="Akapitzlist"/>
        <w:numPr>
          <w:ilvl w:val="0"/>
          <w:numId w:val="2"/>
        </w:numPr>
        <w:autoSpaceDE w:val="0"/>
        <w:autoSpaceDN w:val="0"/>
        <w:adjustRightInd w:val="0"/>
        <w:spacing w:line="360" w:lineRule="auto"/>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For our first variable of interest we rely on the Barro and Lee (2010) dataset on educational at</w:t>
      </w:r>
      <w:r w:rsidR="00AC0A9E" w:rsidRPr="00CF1F0C">
        <w:rPr>
          <w:rFonts w:ascii="Times New Roman" w:hAnsi="Times New Roman" w:cs="Times New Roman"/>
          <w:sz w:val="20"/>
          <w:szCs w:val="20"/>
          <w:lang w:val="en-US"/>
        </w:rPr>
        <w:t>tainment.</w:t>
      </w:r>
      <w:r w:rsidR="0036014C" w:rsidRPr="00CF1F0C">
        <w:rPr>
          <w:rFonts w:ascii="Times New Roman" w:hAnsi="Times New Roman" w:cs="Times New Roman"/>
          <w:sz w:val="20"/>
          <w:szCs w:val="20"/>
          <w:lang w:val="en-US"/>
        </w:rPr>
        <w:t xml:space="preserve"> </w:t>
      </w:r>
      <w:r w:rsidR="00AC0A9E" w:rsidRPr="00CF1F0C">
        <w:rPr>
          <w:rFonts w:ascii="Times New Roman" w:hAnsi="Times New Roman" w:cs="Times New Roman"/>
          <w:sz w:val="20"/>
          <w:szCs w:val="20"/>
          <w:lang w:val="en-US"/>
        </w:rPr>
        <w:t xml:space="preserve">We measure education </w:t>
      </w:r>
      <w:r w:rsidRPr="00CF1F0C">
        <w:rPr>
          <w:rFonts w:ascii="Times New Roman" w:hAnsi="Times New Roman" w:cs="Times New Roman"/>
          <w:sz w:val="20"/>
          <w:szCs w:val="20"/>
          <w:lang w:val="en-US"/>
        </w:rPr>
        <w:t>with the average number of years of education attained by the adult population</w:t>
      </w:r>
      <w:r w:rsidR="00222B00" w:rsidRPr="00CF1F0C">
        <w:rPr>
          <w:rFonts w:ascii="Times New Roman" w:hAnsi="Times New Roman" w:cs="Times New Roman"/>
          <w:sz w:val="20"/>
          <w:szCs w:val="20"/>
          <w:lang w:val="en-US"/>
        </w:rPr>
        <w:t xml:space="preserve"> (over age 25)</w:t>
      </w:r>
      <w:r w:rsidRPr="00CF1F0C">
        <w:rPr>
          <w:rFonts w:ascii="Times New Roman" w:hAnsi="Times New Roman" w:cs="Times New Roman"/>
          <w:sz w:val="20"/>
          <w:szCs w:val="20"/>
          <w:lang w:val="en-US"/>
        </w:rPr>
        <w:t>.</w:t>
      </w:r>
      <w:r w:rsidR="00AC0A9E" w:rsidRPr="00CF1F0C">
        <w:rPr>
          <w:rFonts w:ascii="Times New Roman" w:hAnsi="Times New Roman" w:cs="Times New Roman"/>
          <w:sz w:val="20"/>
          <w:szCs w:val="20"/>
          <w:lang w:val="en-US"/>
        </w:rPr>
        <w:t xml:space="preserve"> </w:t>
      </w:r>
      <w:r w:rsidR="00222B00" w:rsidRPr="00CF1F0C">
        <w:rPr>
          <w:rFonts w:ascii="Times New Roman" w:hAnsi="Times New Roman" w:cs="Times New Roman"/>
          <w:sz w:val="20"/>
          <w:szCs w:val="20"/>
          <w:lang w:val="en-US"/>
        </w:rPr>
        <w:t xml:space="preserve"> </w:t>
      </w:r>
      <w:r w:rsidR="008559D5" w:rsidRPr="00CF1F0C">
        <w:rPr>
          <w:rFonts w:ascii="Times New Roman" w:hAnsi="Times New Roman" w:cs="Times New Roman"/>
          <w:sz w:val="20"/>
          <w:szCs w:val="20"/>
          <w:lang w:val="en-US"/>
        </w:rPr>
        <w:t xml:space="preserve">According to Barro and Lee (2010), there are large differences in education attainment of the general population across countries. Those measures have been widely used throughout the economic literature. </w:t>
      </w:r>
      <w:r w:rsidR="00EC3789" w:rsidRPr="00CF1F0C">
        <w:rPr>
          <w:rFonts w:ascii="Times New Roman" w:hAnsi="Times New Roman" w:cs="Times New Roman"/>
          <w:sz w:val="20"/>
          <w:szCs w:val="20"/>
          <w:lang w:val="en-US"/>
        </w:rPr>
        <w:t>We have decided to measure quality of education through the level of  PISA test scores.</w:t>
      </w:r>
    </w:p>
    <w:p w:rsidR="0036014C" w:rsidRPr="00CF1F0C" w:rsidRDefault="00222B00" w:rsidP="00777341">
      <w:pPr>
        <w:autoSpaceDE w:val="0"/>
        <w:autoSpaceDN w:val="0"/>
        <w:adjustRightInd w:val="0"/>
        <w:spacing w:line="360" w:lineRule="auto"/>
        <w:rPr>
          <w:rFonts w:ascii="Times New Roman" w:hAnsi="Times New Roman" w:cs="Times New Roman"/>
          <w:sz w:val="20"/>
          <w:szCs w:val="20"/>
          <w:lang w:val="en-US"/>
        </w:rPr>
      </w:pPr>
      <w:r w:rsidRPr="00CF1F0C">
        <w:rPr>
          <w:rFonts w:ascii="Times New Roman" w:hAnsi="Times New Roman" w:cs="Times New Roman"/>
          <w:sz w:val="20"/>
          <w:szCs w:val="20"/>
          <w:lang w:val="en-US"/>
        </w:rPr>
        <w:t>The following</w:t>
      </w:r>
      <w:r w:rsidR="00954358" w:rsidRPr="00CF1F0C">
        <w:rPr>
          <w:rFonts w:ascii="Times New Roman" w:hAnsi="Times New Roman" w:cs="Times New Roman"/>
          <w:sz w:val="20"/>
          <w:szCs w:val="20"/>
          <w:lang w:val="en-US"/>
        </w:rPr>
        <w:t>s</w:t>
      </w:r>
      <w:r w:rsidRPr="00CF1F0C">
        <w:rPr>
          <w:rFonts w:ascii="Times New Roman" w:hAnsi="Times New Roman" w:cs="Times New Roman"/>
          <w:sz w:val="20"/>
          <w:szCs w:val="20"/>
          <w:lang w:val="en-US"/>
        </w:rPr>
        <w:t xml:space="preserve"> </w:t>
      </w:r>
      <w:r w:rsidR="00954358" w:rsidRPr="00CF1F0C">
        <w:rPr>
          <w:rFonts w:ascii="Times New Roman" w:hAnsi="Times New Roman" w:cs="Times New Roman"/>
          <w:sz w:val="20"/>
          <w:szCs w:val="20"/>
          <w:lang w:val="en-US"/>
        </w:rPr>
        <w:t>control variables is also introduced to test the robustness of</w:t>
      </w:r>
      <w:r w:rsidR="002D5F89" w:rsidRPr="00CF1F0C">
        <w:rPr>
          <w:rFonts w:ascii="Times New Roman" w:hAnsi="Times New Roman" w:cs="Times New Roman"/>
          <w:sz w:val="20"/>
          <w:szCs w:val="20"/>
          <w:lang w:val="en-US"/>
        </w:rPr>
        <w:t xml:space="preserve"> </w:t>
      </w:r>
      <w:r w:rsidR="00954358" w:rsidRPr="00CF1F0C">
        <w:rPr>
          <w:rFonts w:ascii="Times New Roman" w:hAnsi="Times New Roman" w:cs="Times New Roman"/>
          <w:sz w:val="20"/>
          <w:szCs w:val="20"/>
          <w:lang w:val="en-US"/>
        </w:rPr>
        <w:t>our measures:</w:t>
      </w:r>
    </w:p>
    <w:p w:rsidR="007C117B" w:rsidRPr="00CF1F0C" w:rsidRDefault="00AC0A9E" w:rsidP="00054EE7">
      <w:pPr>
        <w:pStyle w:val="Akapitzlist"/>
        <w:numPr>
          <w:ilvl w:val="0"/>
          <w:numId w:val="2"/>
        </w:numPr>
        <w:autoSpaceDE w:val="0"/>
        <w:autoSpaceDN w:val="0"/>
        <w:adjustRightInd w:val="0"/>
        <w:spacing w:line="360" w:lineRule="auto"/>
        <w:rPr>
          <w:rFonts w:ascii="Times New Roman" w:hAnsi="Times New Roman" w:cs="Times New Roman"/>
          <w:sz w:val="20"/>
          <w:szCs w:val="20"/>
          <w:lang w:val="en-US"/>
        </w:rPr>
      </w:pPr>
      <w:r w:rsidRPr="00CF1F0C">
        <w:rPr>
          <w:rFonts w:ascii="Times New Roman" w:hAnsi="Times New Roman" w:cs="Times New Roman"/>
          <w:sz w:val="20"/>
          <w:szCs w:val="20"/>
          <w:lang w:val="en-US"/>
        </w:rPr>
        <w:t>The log of p</w:t>
      </w:r>
      <w:r w:rsidR="00954358" w:rsidRPr="00CF1F0C">
        <w:rPr>
          <w:rFonts w:ascii="Times New Roman" w:hAnsi="Times New Roman" w:cs="Times New Roman"/>
          <w:sz w:val="20"/>
          <w:szCs w:val="20"/>
          <w:lang w:val="en-US"/>
        </w:rPr>
        <w:t xml:space="preserve">er </w:t>
      </w:r>
      <w:r w:rsidRPr="00CF1F0C">
        <w:rPr>
          <w:rFonts w:ascii="Times New Roman" w:hAnsi="Times New Roman" w:cs="Times New Roman"/>
          <w:sz w:val="20"/>
          <w:szCs w:val="20"/>
          <w:lang w:val="en-US"/>
        </w:rPr>
        <w:t>c</w:t>
      </w:r>
      <w:r w:rsidR="00954358" w:rsidRPr="00CF1F0C">
        <w:rPr>
          <w:rFonts w:ascii="Times New Roman" w:hAnsi="Times New Roman" w:cs="Times New Roman"/>
          <w:sz w:val="20"/>
          <w:szCs w:val="20"/>
          <w:lang w:val="en-US"/>
        </w:rPr>
        <w:t xml:space="preserve">apita </w:t>
      </w:r>
      <w:r w:rsidRPr="00CF1F0C">
        <w:rPr>
          <w:rFonts w:ascii="Times New Roman" w:hAnsi="Times New Roman" w:cs="Times New Roman"/>
          <w:sz w:val="20"/>
          <w:szCs w:val="20"/>
          <w:lang w:val="en-US"/>
        </w:rPr>
        <w:t>i</w:t>
      </w:r>
      <w:r w:rsidR="00954358" w:rsidRPr="00CF1F0C">
        <w:rPr>
          <w:rFonts w:ascii="Times New Roman" w:hAnsi="Times New Roman" w:cs="Times New Roman"/>
          <w:sz w:val="20"/>
          <w:szCs w:val="20"/>
          <w:lang w:val="en-US"/>
        </w:rPr>
        <w:t>ncome to measure the impact of economic development. The</w:t>
      </w:r>
      <w:r w:rsidR="002D5F89" w:rsidRPr="00CF1F0C">
        <w:rPr>
          <w:rFonts w:ascii="Times New Roman" w:hAnsi="Times New Roman" w:cs="Times New Roman"/>
          <w:sz w:val="20"/>
          <w:szCs w:val="20"/>
          <w:lang w:val="en-US"/>
        </w:rPr>
        <w:t xml:space="preserve"> </w:t>
      </w:r>
      <w:r w:rsidR="00954358" w:rsidRPr="00CF1F0C">
        <w:rPr>
          <w:rFonts w:ascii="Times New Roman" w:hAnsi="Times New Roman" w:cs="Times New Roman"/>
          <w:sz w:val="20"/>
          <w:szCs w:val="20"/>
          <w:lang w:val="en-US"/>
        </w:rPr>
        <w:t xml:space="preserve">data correspond to </w:t>
      </w:r>
      <w:r w:rsidR="002D5F89" w:rsidRPr="00CF1F0C">
        <w:rPr>
          <w:rFonts w:ascii="Times New Roman" w:hAnsi="Times New Roman" w:cs="Times New Roman"/>
          <w:sz w:val="20"/>
          <w:szCs w:val="20"/>
          <w:lang w:val="en-US"/>
        </w:rPr>
        <w:t>2009</w:t>
      </w:r>
      <w:r w:rsidR="00954358" w:rsidRPr="00CF1F0C">
        <w:rPr>
          <w:rFonts w:ascii="Times New Roman" w:hAnsi="Times New Roman" w:cs="Times New Roman"/>
          <w:sz w:val="20"/>
          <w:szCs w:val="20"/>
          <w:lang w:val="en-US"/>
        </w:rPr>
        <w:t>. They come from the World</w:t>
      </w:r>
      <w:r w:rsidR="002D5F89" w:rsidRPr="00CF1F0C">
        <w:rPr>
          <w:rFonts w:ascii="Times New Roman" w:hAnsi="Times New Roman" w:cs="Times New Roman"/>
          <w:sz w:val="20"/>
          <w:szCs w:val="20"/>
          <w:lang w:val="en-US"/>
        </w:rPr>
        <w:t xml:space="preserve"> </w:t>
      </w:r>
      <w:r w:rsidR="00954358" w:rsidRPr="00CF1F0C">
        <w:rPr>
          <w:rFonts w:ascii="Times New Roman" w:hAnsi="Times New Roman" w:cs="Times New Roman"/>
          <w:sz w:val="20"/>
          <w:szCs w:val="20"/>
          <w:lang w:val="en-US"/>
        </w:rPr>
        <w:t>Bank.</w:t>
      </w:r>
      <w:r w:rsidRPr="00CF1F0C">
        <w:rPr>
          <w:rFonts w:ascii="Times New Roman" w:hAnsi="Times New Roman" w:cs="Times New Roman"/>
          <w:sz w:val="20"/>
          <w:szCs w:val="20"/>
          <w:lang w:val="en-US"/>
        </w:rPr>
        <w:t xml:space="preserve"> </w:t>
      </w:r>
    </w:p>
    <w:p w:rsidR="00C7337B" w:rsidRPr="00CF1F0C" w:rsidRDefault="00954358" w:rsidP="00054EE7">
      <w:pPr>
        <w:pStyle w:val="Akapitzlist"/>
        <w:numPr>
          <w:ilvl w:val="0"/>
          <w:numId w:val="2"/>
        </w:numPr>
        <w:autoSpaceDE w:val="0"/>
        <w:autoSpaceDN w:val="0"/>
        <w:adjustRightInd w:val="0"/>
        <w:spacing w:line="360" w:lineRule="auto"/>
        <w:rPr>
          <w:rFonts w:ascii="Times New Roman" w:hAnsi="Times New Roman" w:cs="Times New Roman"/>
          <w:sz w:val="20"/>
          <w:szCs w:val="20"/>
          <w:lang w:val="en-US"/>
        </w:rPr>
      </w:pPr>
      <w:r w:rsidRPr="00CF1F0C">
        <w:rPr>
          <w:rFonts w:ascii="Times New Roman" w:hAnsi="Times New Roman" w:cs="Times New Roman"/>
          <w:sz w:val="20"/>
          <w:szCs w:val="20"/>
          <w:lang w:val="en-US"/>
        </w:rPr>
        <w:t>The size of government, measured as proportion of public revenues of the central</w:t>
      </w:r>
      <w:r w:rsidR="00C7337B"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government over GDP. The sign of the variable may go in either direction. On the one hand,</w:t>
      </w:r>
      <w:r w:rsidR="00C7337B"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larger governments may imply higher public wages and hence both lower incentives to accept</w:t>
      </w:r>
      <w:r w:rsidR="00C7337B"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bribes among civil servants and better public services. On the other hand, a bigger state may</w:t>
      </w:r>
      <w:r w:rsidR="00C7337B"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signal more opportunities for corruption and inefficiencies.</w:t>
      </w:r>
      <w:r w:rsidR="00C7337B" w:rsidRPr="00CF1F0C">
        <w:rPr>
          <w:rFonts w:ascii="Times New Roman" w:hAnsi="Times New Roman" w:cs="Times New Roman"/>
          <w:sz w:val="20"/>
          <w:szCs w:val="20"/>
          <w:lang w:val="en-US"/>
        </w:rPr>
        <w:t xml:space="preserve"> </w:t>
      </w:r>
    </w:p>
    <w:p w:rsidR="007607F3" w:rsidRPr="00CF1F0C" w:rsidRDefault="007607F3" w:rsidP="00054EE7">
      <w:pPr>
        <w:pStyle w:val="Akapitzlist"/>
        <w:numPr>
          <w:ilvl w:val="0"/>
          <w:numId w:val="2"/>
        </w:numPr>
        <w:autoSpaceDE w:val="0"/>
        <w:autoSpaceDN w:val="0"/>
        <w:adjustRightInd w:val="0"/>
        <w:spacing w:line="360" w:lineRule="auto"/>
        <w:rPr>
          <w:rFonts w:ascii="Times New Roman" w:hAnsi="Times New Roman" w:cs="Times New Roman"/>
          <w:sz w:val="20"/>
          <w:szCs w:val="20"/>
          <w:lang w:val="en-US"/>
        </w:rPr>
      </w:pPr>
      <w:r w:rsidRPr="00CF1F0C">
        <w:rPr>
          <w:rFonts w:ascii="Times New Roman" w:hAnsi="Times New Roman" w:cs="Times New Roman"/>
          <w:sz w:val="20"/>
          <w:szCs w:val="20"/>
          <w:lang w:val="en-US"/>
        </w:rPr>
        <w:t>We also control for the size of population.</w:t>
      </w:r>
    </w:p>
    <w:p w:rsidR="00E33BE9" w:rsidRPr="00CF1F0C" w:rsidRDefault="00E33BE9" w:rsidP="00E33BE9">
      <w:pPr>
        <w:pStyle w:val="Akapitzlist"/>
        <w:autoSpaceDE w:val="0"/>
        <w:autoSpaceDN w:val="0"/>
        <w:adjustRightInd w:val="0"/>
        <w:spacing w:line="360" w:lineRule="auto"/>
        <w:ind w:left="717" w:firstLine="0"/>
        <w:rPr>
          <w:rFonts w:ascii="Times New Roman" w:hAnsi="Times New Roman" w:cs="Times New Roman"/>
          <w:color w:val="FF0000"/>
          <w:sz w:val="20"/>
          <w:szCs w:val="20"/>
          <w:lang w:val="en-US"/>
        </w:rPr>
      </w:pPr>
    </w:p>
    <w:p w:rsidR="00656076" w:rsidRPr="00CF1F0C" w:rsidRDefault="00954358" w:rsidP="00954358">
      <w:pPr>
        <w:autoSpaceDE w:val="0"/>
        <w:autoSpaceDN w:val="0"/>
        <w:adjustRightInd w:val="0"/>
        <w:spacing w:line="360" w:lineRule="auto"/>
        <w:ind w:left="0" w:firstLine="0"/>
        <w:rPr>
          <w:rFonts w:ascii="Times New Roman" w:hAnsi="Times New Roman" w:cs="Times New Roman"/>
          <w:b/>
          <w:bCs/>
          <w:sz w:val="20"/>
          <w:szCs w:val="20"/>
          <w:lang w:val="en-US"/>
        </w:rPr>
      </w:pPr>
      <w:r w:rsidRPr="00CF1F0C">
        <w:rPr>
          <w:rFonts w:ascii="Times New Roman" w:hAnsi="Times New Roman" w:cs="Times New Roman"/>
          <w:b/>
          <w:bCs/>
          <w:sz w:val="20"/>
          <w:szCs w:val="20"/>
          <w:lang w:val="en-US"/>
        </w:rPr>
        <w:t>Results</w:t>
      </w:r>
    </w:p>
    <w:p w:rsidR="00054EE7" w:rsidRPr="00CF1F0C" w:rsidRDefault="00FF3ECE" w:rsidP="0070398F">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bCs/>
          <w:sz w:val="20"/>
          <w:szCs w:val="20"/>
          <w:lang w:val="en-US"/>
        </w:rPr>
        <w:t>In  this  section  we  will  show  the  estimates  of  the  regressions  used  to  test  the  model  and  attempt  to explain the existence or absence of relations.</w:t>
      </w:r>
      <w:r w:rsidR="0070398F" w:rsidRPr="00CF1F0C">
        <w:rPr>
          <w:rFonts w:ascii="Times New Roman" w:hAnsi="Times New Roman" w:cs="Times New Roman"/>
          <w:bCs/>
          <w:sz w:val="20"/>
          <w:szCs w:val="20"/>
          <w:lang w:val="en-US"/>
        </w:rPr>
        <w:t xml:space="preserve"> </w:t>
      </w:r>
      <w:r w:rsidR="00370D56" w:rsidRPr="00CF1F0C">
        <w:rPr>
          <w:rFonts w:ascii="Times New Roman" w:hAnsi="Times New Roman" w:cs="Times New Roman"/>
          <w:sz w:val="20"/>
          <w:szCs w:val="20"/>
          <w:lang w:val="en-US"/>
        </w:rPr>
        <w:t xml:space="preserve">The results of the analysis are summarized in Table </w:t>
      </w:r>
      <w:r w:rsidR="00EC3789" w:rsidRPr="00CF1F0C">
        <w:rPr>
          <w:rFonts w:ascii="Times New Roman" w:hAnsi="Times New Roman" w:cs="Times New Roman"/>
          <w:sz w:val="20"/>
          <w:szCs w:val="20"/>
          <w:lang w:val="en-US"/>
        </w:rPr>
        <w:t>1</w:t>
      </w:r>
      <w:r w:rsidR="00370D56" w:rsidRPr="00CF1F0C">
        <w:rPr>
          <w:rFonts w:ascii="Times New Roman" w:hAnsi="Times New Roman" w:cs="Times New Roman"/>
          <w:sz w:val="20"/>
          <w:szCs w:val="20"/>
          <w:lang w:val="en-US"/>
        </w:rPr>
        <w:t xml:space="preserve"> and </w:t>
      </w:r>
      <w:r w:rsidR="00EC3789" w:rsidRPr="00CF1F0C">
        <w:rPr>
          <w:rFonts w:ascii="Times New Roman" w:hAnsi="Times New Roman" w:cs="Times New Roman"/>
          <w:sz w:val="20"/>
          <w:szCs w:val="20"/>
          <w:lang w:val="en-US"/>
        </w:rPr>
        <w:t>2</w:t>
      </w:r>
      <w:r w:rsidR="00370D56" w:rsidRPr="00CF1F0C">
        <w:rPr>
          <w:rFonts w:ascii="Times New Roman" w:hAnsi="Times New Roman" w:cs="Times New Roman"/>
          <w:sz w:val="20"/>
          <w:szCs w:val="20"/>
          <w:lang w:val="en-US"/>
        </w:rPr>
        <w:t xml:space="preserve">. In Table </w:t>
      </w:r>
      <w:r w:rsidR="00EC3789" w:rsidRPr="00CF1F0C">
        <w:rPr>
          <w:rFonts w:ascii="Times New Roman" w:hAnsi="Times New Roman" w:cs="Times New Roman"/>
          <w:sz w:val="20"/>
          <w:szCs w:val="20"/>
          <w:lang w:val="en-US"/>
        </w:rPr>
        <w:t>1</w:t>
      </w:r>
      <w:r w:rsidR="00370D56" w:rsidRPr="00CF1F0C">
        <w:rPr>
          <w:rFonts w:ascii="Times New Roman" w:hAnsi="Times New Roman" w:cs="Times New Roman"/>
          <w:sz w:val="20"/>
          <w:szCs w:val="20"/>
          <w:lang w:val="en-US"/>
        </w:rPr>
        <w:t>, we first present the regression results from a standard OLS regression es</w:t>
      </w:r>
      <w:r w:rsidR="00EA6000" w:rsidRPr="00CF1F0C">
        <w:rPr>
          <w:rFonts w:ascii="Times New Roman" w:hAnsi="Times New Roman" w:cs="Times New Roman"/>
          <w:sz w:val="20"/>
          <w:szCs w:val="20"/>
          <w:lang w:val="en-US"/>
        </w:rPr>
        <w:t>timation, where we can compare six</w:t>
      </w:r>
      <w:r w:rsidR="00370D56" w:rsidRPr="00CF1F0C">
        <w:rPr>
          <w:rFonts w:ascii="Times New Roman" w:hAnsi="Times New Roman" w:cs="Times New Roman"/>
          <w:sz w:val="20"/>
          <w:szCs w:val="20"/>
          <w:lang w:val="en-US"/>
        </w:rPr>
        <w:t xml:space="preserve"> estimation. The findings presented were obtained by</w:t>
      </w:r>
      <w:r w:rsidR="008851AE" w:rsidRPr="00CF1F0C">
        <w:rPr>
          <w:rFonts w:ascii="Times New Roman" w:hAnsi="Times New Roman" w:cs="Times New Roman"/>
          <w:sz w:val="20"/>
          <w:szCs w:val="20"/>
          <w:lang w:val="en-US"/>
        </w:rPr>
        <w:t xml:space="preserve"> in</w:t>
      </w:r>
      <w:r w:rsidR="00370D56" w:rsidRPr="00CF1F0C">
        <w:rPr>
          <w:rFonts w:ascii="Times New Roman" w:hAnsi="Times New Roman" w:cs="Times New Roman"/>
          <w:sz w:val="20"/>
          <w:szCs w:val="20"/>
          <w:lang w:val="en-US"/>
        </w:rPr>
        <w:t xml:space="preserve">cluding </w:t>
      </w:r>
      <w:r w:rsidR="008851AE" w:rsidRPr="00CF1F0C">
        <w:rPr>
          <w:rFonts w:ascii="Times New Roman" w:hAnsi="Times New Roman" w:cs="Times New Roman"/>
          <w:sz w:val="20"/>
          <w:szCs w:val="20"/>
          <w:lang w:val="en-US"/>
        </w:rPr>
        <w:t xml:space="preserve">two variables connected with education and </w:t>
      </w:r>
      <w:r w:rsidR="00370D56" w:rsidRPr="00CF1F0C">
        <w:rPr>
          <w:rFonts w:ascii="Times New Roman" w:hAnsi="Times New Roman" w:cs="Times New Roman"/>
          <w:sz w:val="20"/>
          <w:szCs w:val="20"/>
          <w:lang w:val="en-US"/>
        </w:rPr>
        <w:t xml:space="preserve">all statistically significant variables. First, it is clear that the model’s overall performance is very good. The variables in the model explain </w:t>
      </w:r>
      <w:r w:rsidR="00EC3789" w:rsidRPr="00CF1F0C">
        <w:rPr>
          <w:rFonts w:ascii="Times New Roman" w:hAnsi="Times New Roman" w:cs="Times New Roman"/>
          <w:sz w:val="20"/>
          <w:szCs w:val="20"/>
          <w:lang w:val="en-US"/>
        </w:rPr>
        <w:t>63</w:t>
      </w:r>
      <w:r w:rsidR="00370D56" w:rsidRPr="00CF1F0C">
        <w:rPr>
          <w:rFonts w:ascii="Times New Roman" w:hAnsi="Times New Roman" w:cs="Times New Roman"/>
          <w:sz w:val="20"/>
          <w:szCs w:val="20"/>
          <w:lang w:val="en-US"/>
        </w:rPr>
        <w:t>-</w:t>
      </w:r>
      <w:r w:rsidR="00EC3789" w:rsidRPr="00CF1F0C">
        <w:rPr>
          <w:rFonts w:ascii="Times New Roman" w:hAnsi="Times New Roman" w:cs="Times New Roman"/>
          <w:sz w:val="20"/>
          <w:szCs w:val="20"/>
          <w:lang w:val="en-US"/>
        </w:rPr>
        <w:t>8</w:t>
      </w:r>
      <w:r w:rsidR="00370D56" w:rsidRPr="00CF1F0C">
        <w:rPr>
          <w:rFonts w:ascii="Times New Roman" w:hAnsi="Times New Roman" w:cs="Times New Roman"/>
          <w:sz w:val="20"/>
          <w:szCs w:val="20"/>
          <w:lang w:val="en-US"/>
        </w:rPr>
        <w:t>7% of the variation in quality of administration.</w:t>
      </w:r>
      <w:r w:rsidR="00C93092" w:rsidRPr="00CF1F0C">
        <w:rPr>
          <w:rFonts w:ascii="Times New Roman" w:hAnsi="Times New Roman" w:cs="Times New Roman"/>
          <w:sz w:val="20"/>
          <w:szCs w:val="20"/>
          <w:lang w:val="en-US"/>
        </w:rPr>
        <w:t xml:space="preserve"> W</w:t>
      </w:r>
      <w:r w:rsidR="00370D56" w:rsidRPr="00CF1F0C">
        <w:rPr>
          <w:rFonts w:ascii="Times New Roman" w:hAnsi="Times New Roman" w:cs="Times New Roman"/>
          <w:sz w:val="20"/>
          <w:szCs w:val="20"/>
          <w:lang w:val="en-US"/>
        </w:rPr>
        <w:t xml:space="preserve">e observe that the level of </w:t>
      </w:r>
      <w:r w:rsidR="006C6183" w:rsidRPr="00CF1F0C">
        <w:rPr>
          <w:rFonts w:ascii="Times New Roman" w:hAnsi="Times New Roman" w:cs="Times New Roman"/>
          <w:sz w:val="20"/>
          <w:szCs w:val="20"/>
          <w:lang w:val="en-US"/>
        </w:rPr>
        <w:t xml:space="preserve">quality of </w:t>
      </w:r>
      <w:r w:rsidR="00370D56" w:rsidRPr="00CF1F0C">
        <w:rPr>
          <w:rFonts w:ascii="Times New Roman" w:hAnsi="Times New Roman" w:cs="Times New Roman"/>
          <w:sz w:val="20"/>
          <w:szCs w:val="20"/>
          <w:lang w:val="en-US"/>
        </w:rPr>
        <w:t xml:space="preserve">education significantly affects the quality of administration. </w:t>
      </w:r>
      <w:r w:rsidR="0036014C" w:rsidRPr="00CF1F0C">
        <w:rPr>
          <w:rFonts w:ascii="Times New Roman" w:hAnsi="Times New Roman" w:cs="Times New Roman"/>
          <w:sz w:val="20"/>
          <w:szCs w:val="20"/>
          <w:lang w:val="en-US"/>
        </w:rPr>
        <w:t xml:space="preserve">As shown in tables </w:t>
      </w:r>
      <w:r w:rsidR="00EC3789" w:rsidRPr="00CF1F0C">
        <w:rPr>
          <w:rFonts w:ascii="Times New Roman" w:hAnsi="Times New Roman" w:cs="Times New Roman"/>
          <w:sz w:val="20"/>
          <w:szCs w:val="20"/>
          <w:lang w:val="en-US"/>
        </w:rPr>
        <w:t>1</w:t>
      </w:r>
      <w:r w:rsidR="0036014C" w:rsidRPr="00CF1F0C">
        <w:rPr>
          <w:rFonts w:ascii="Times New Roman" w:hAnsi="Times New Roman" w:cs="Times New Roman"/>
          <w:sz w:val="20"/>
          <w:szCs w:val="20"/>
          <w:lang w:val="en-US"/>
        </w:rPr>
        <w:t xml:space="preserve"> and </w:t>
      </w:r>
      <w:r w:rsidR="00EC3789" w:rsidRPr="00CF1F0C">
        <w:rPr>
          <w:rFonts w:ascii="Times New Roman" w:hAnsi="Times New Roman" w:cs="Times New Roman"/>
          <w:sz w:val="20"/>
          <w:szCs w:val="20"/>
          <w:lang w:val="en-US"/>
        </w:rPr>
        <w:t>2</w:t>
      </w:r>
      <w:r w:rsidR="0036014C" w:rsidRPr="00CF1F0C">
        <w:rPr>
          <w:rFonts w:ascii="Times New Roman" w:hAnsi="Times New Roman" w:cs="Times New Roman"/>
          <w:sz w:val="20"/>
          <w:szCs w:val="20"/>
          <w:lang w:val="en-US"/>
        </w:rPr>
        <w:t xml:space="preserve"> as well as in figure 1, there are positive relations between the </w:t>
      </w:r>
      <w:r w:rsidR="005C06A4" w:rsidRPr="00CF1F0C">
        <w:rPr>
          <w:rFonts w:ascii="Times New Roman" w:hAnsi="Times New Roman" w:cs="Times New Roman"/>
          <w:sz w:val="20"/>
          <w:szCs w:val="20"/>
          <w:lang w:val="en-US"/>
        </w:rPr>
        <w:t xml:space="preserve">education and </w:t>
      </w:r>
      <w:r w:rsidR="00054EE7" w:rsidRPr="00CF1F0C">
        <w:rPr>
          <w:rFonts w:ascii="Times New Roman" w:hAnsi="Times New Roman" w:cs="Times New Roman"/>
          <w:sz w:val="20"/>
          <w:szCs w:val="20"/>
          <w:lang w:val="en-US"/>
        </w:rPr>
        <w:t>three</w:t>
      </w:r>
      <w:r w:rsidR="0036014C" w:rsidRPr="00CF1F0C">
        <w:rPr>
          <w:rFonts w:ascii="Times New Roman" w:hAnsi="Times New Roman" w:cs="Times New Roman"/>
          <w:sz w:val="20"/>
          <w:szCs w:val="20"/>
          <w:lang w:val="en-US"/>
        </w:rPr>
        <w:t xml:space="preserve"> widely used measures of</w:t>
      </w:r>
      <w:r w:rsidR="005C06A4" w:rsidRPr="00CF1F0C">
        <w:rPr>
          <w:rFonts w:ascii="Times New Roman" w:hAnsi="Times New Roman" w:cs="Times New Roman"/>
          <w:sz w:val="20"/>
          <w:szCs w:val="20"/>
          <w:lang w:val="en-US"/>
        </w:rPr>
        <w:t xml:space="preserve"> quality of bureaucracy variables.</w:t>
      </w:r>
      <w:r w:rsidR="00054EE7" w:rsidRPr="00CF1F0C">
        <w:rPr>
          <w:rFonts w:ascii="Times New Roman" w:hAnsi="Times New Roman" w:cs="Times New Roman"/>
          <w:sz w:val="20"/>
          <w:szCs w:val="20"/>
          <w:lang w:val="en-US"/>
        </w:rPr>
        <w:t xml:space="preserve"> The stronger correlation is between skill indicators of administration and </w:t>
      </w:r>
      <w:r w:rsidR="00EC3789" w:rsidRPr="00CF1F0C">
        <w:rPr>
          <w:rFonts w:ascii="Times New Roman" w:hAnsi="Times New Roman" w:cs="Times New Roman"/>
          <w:sz w:val="20"/>
          <w:szCs w:val="20"/>
          <w:lang w:val="en-US"/>
        </w:rPr>
        <w:t>quality</w:t>
      </w:r>
      <w:r w:rsidR="00054EE7" w:rsidRPr="00CF1F0C">
        <w:rPr>
          <w:rFonts w:ascii="Times New Roman" w:hAnsi="Times New Roman" w:cs="Times New Roman"/>
          <w:sz w:val="20"/>
          <w:szCs w:val="20"/>
          <w:lang w:val="en-US"/>
        </w:rPr>
        <w:t xml:space="preserve"> of education. </w:t>
      </w:r>
      <w:r w:rsidR="0070398F" w:rsidRPr="00CF1F0C">
        <w:rPr>
          <w:rFonts w:ascii="Times New Roman" w:hAnsi="Times New Roman" w:cs="Times New Roman"/>
          <w:sz w:val="20"/>
          <w:szCs w:val="20"/>
          <w:lang w:val="en-US"/>
        </w:rPr>
        <w:t xml:space="preserve">Countries with  higher  levels  of  education  may  be  more  likely  to  adopt  meritocratic  recruitment procedures,  and  in  such  countries  the  population  might  be  better  able  to  monitor  the government. </w:t>
      </w:r>
      <w:r w:rsidR="0070398F" w:rsidRPr="00CF1F0C">
        <w:rPr>
          <w:rFonts w:ascii="Times New Roman" w:hAnsi="Times New Roman" w:cs="Times New Roman"/>
          <w:sz w:val="20"/>
          <w:szCs w:val="20"/>
          <w:lang w:val="en-US"/>
        </w:rPr>
        <w:lastRenderedPageBreak/>
        <w:t>Furthermore, the supply of adequate civil servants might be larger, which would most  likely  im</w:t>
      </w:r>
      <w:r w:rsidR="00542040" w:rsidRPr="00CF1F0C">
        <w:rPr>
          <w:rFonts w:ascii="Times New Roman" w:hAnsi="Times New Roman" w:cs="Times New Roman"/>
          <w:sz w:val="20"/>
          <w:szCs w:val="20"/>
          <w:lang w:val="en-US"/>
        </w:rPr>
        <w:t xml:space="preserve">prove  overall  quality  (Rauch, </w:t>
      </w:r>
      <w:r w:rsidR="0070398F" w:rsidRPr="00CF1F0C">
        <w:rPr>
          <w:rFonts w:ascii="Times New Roman" w:hAnsi="Times New Roman" w:cs="Times New Roman"/>
          <w:sz w:val="20"/>
          <w:szCs w:val="20"/>
          <w:lang w:val="en-US"/>
        </w:rPr>
        <w:t xml:space="preserve">Evans,  </w:t>
      </w:r>
      <w:r w:rsidR="00542040" w:rsidRPr="00CF1F0C">
        <w:rPr>
          <w:rFonts w:ascii="Times New Roman" w:hAnsi="Times New Roman" w:cs="Times New Roman"/>
          <w:sz w:val="20"/>
          <w:szCs w:val="20"/>
          <w:lang w:val="en-US"/>
        </w:rPr>
        <w:t>1999</w:t>
      </w:r>
      <w:r w:rsidR="0070398F" w:rsidRPr="00CF1F0C">
        <w:rPr>
          <w:rFonts w:ascii="Times New Roman" w:hAnsi="Times New Roman" w:cs="Times New Roman"/>
          <w:sz w:val="20"/>
          <w:szCs w:val="20"/>
          <w:lang w:val="en-US"/>
        </w:rPr>
        <w:t>).</w:t>
      </w:r>
      <w:r w:rsidR="00542040" w:rsidRPr="00CF1F0C">
        <w:rPr>
          <w:rFonts w:ascii="Times New Roman" w:hAnsi="Times New Roman" w:cs="Times New Roman"/>
          <w:sz w:val="20"/>
          <w:szCs w:val="20"/>
          <w:lang w:val="en-US"/>
        </w:rPr>
        <w:t xml:space="preserve"> </w:t>
      </w:r>
      <w:r w:rsidR="00054EE7" w:rsidRPr="00CF1F0C">
        <w:rPr>
          <w:rFonts w:ascii="Times New Roman" w:hAnsi="Times New Roman" w:cs="Times New Roman"/>
          <w:sz w:val="20"/>
          <w:szCs w:val="20"/>
          <w:lang w:val="en-US"/>
        </w:rPr>
        <w:t xml:space="preserve">The control variables remain robust, with  GDP </w:t>
      </w:r>
      <w:r w:rsidR="007607F3" w:rsidRPr="00CF1F0C">
        <w:rPr>
          <w:rFonts w:ascii="Times New Roman" w:hAnsi="Times New Roman" w:cs="Times New Roman"/>
          <w:sz w:val="20"/>
          <w:szCs w:val="20"/>
          <w:lang w:val="en-US"/>
        </w:rPr>
        <w:t xml:space="preserve">per capita </w:t>
      </w:r>
      <w:r w:rsidR="00054EE7" w:rsidRPr="00CF1F0C">
        <w:rPr>
          <w:rFonts w:ascii="Times New Roman" w:hAnsi="Times New Roman" w:cs="Times New Roman"/>
          <w:sz w:val="20"/>
          <w:szCs w:val="20"/>
          <w:lang w:val="en-US"/>
        </w:rPr>
        <w:t>and population amount being negative determinants of a quality bureaucracy.</w:t>
      </w:r>
      <w:r w:rsidR="00542040" w:rsidRPr="00CF1F0C">
        <w:rPr>
          <w:rFonts w:ascii="Times New Roman" w:hAnsi="Times New Roman" w:cs="Times New Roman"/>
          <w:sz w:val="20"/>
          <w:szCs w:val="20"/>
          <w:lang w:val="en-US"/>
        </w:rPr>
        <w:t xml:space="preserve"> The choice of control variables is partially inspired by Rauch and Evans (1999). In their publication they already posited that high income countries show a strong tendency to have higher  bureaucracy  ratings. Per  capita  income  is  correlated,  with  better  performance . The  impact  of  per  capita  income partly reflects the fact that richer nations have more resources.  </w:t>
      </w:r>
    </w:p>
    <w:p w:rsidR="005C06A4" w:rsidRPr="00CF1F0C" w:rsidRDefault="005C06A4" w:rsidP="00054EE7">
      <w:pPr>
        <w:autoSpaceDE w:val="0"/>
        <w:autoSpaceDN w:val="0"/>
        <w:adjustRightInd w:val="0"/>
        <w:ind w:left="0" w:firstLine="0"/>
        <w:rPr>
          <w:rFonts w:ascii="Times New Roman" w:hAnsi="Times New Roman" w:cs="Times New Roman"/>
          <w:sz w:val="20"/>
          <w:szCs w:val="20"/>
          <w:lang w:val="en-US"/>
        </w:rPr>
      </w:pPr>
    </w:p>
    <w:p w:rsidR="0036014C" w:rsidRPr="00CF1F0C" w:rsidRDefault="0036014C" w:rsidP="00954358">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Tab 2 </w:t>
      </w:r>
      <w:r w:rsidR="00E23CFD" w:rsidRPr="00CF1F0C">
        <w:rPr>
          <w:rFonts w:ascii="Times New Roman" w:hAnsi="Times New Roman" w:cs="Times New Roman"/>
          <w:sz w:val="20"/>
          <w:szCs w:val="20"/>
          <w:lang w:val="en-US"/>
        </w:rPr>
        <w:t>The effects of education on quality of public administration</w:t>
      </w:r>
      <w:r w:rsidRPr="00CF1F0C">
        <w:rPr>
          <w:rFonts w:ascii="Times New Roman" w:hAnsi="Times New Roman" w:cs="Times New Roman"/>
          <w:sz w:val="20"/>
          <w:szCs w:val="20"/>
          <w:lang w:val="en-US"/>
        </w:rPr>
        <w:t xml:space="preserve"> </w:t>
      </w:r>
    </w:p>
    <w:tbl>
      <w:tblPr>
        <w:tblW w:w="9031" w:type="dxa"/>
        <w:tblInd w:w="59" w:type="dxa"/>
        <w:tblCellMar>
          <w:left w:w="70" w:type="dxa"/>
          <w:right w:w="70" w:type="dxa"/>
        </w:tblCellMar>
        <w:tblLook w:val="04A0"/>
      </w:tblPr>
      <w:tblGrid>
        <w:gridCol w:w="1466"/>
        <w:gridCol w:w="1522"/>
        <w:gridCol w:w="1439"/>
        <w:gridCol w:w="1160"/>
        <w:gridCol w:w="1148"/>
        <w:gridCol w:w="1148"/>
        <w:gridCol w:w="1148"/>
      </w:tblGrid>
      <w:tr w:rsidR="00DC635A" w:rsidRPr="00CF1F0C" w:rsidTr="00DC635A">
        <w:trPr>
          <w:trHeight w:val="285"/>
        </w:trPr>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VARIABLES</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DC635A" w:rsidRPr="00CF1F0C" w:rsidRDefault="00DC635A" w:rsidP="00E23CF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 xml:space="preserve">ICRG </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35A" w:rsidRPr="00CF1F0C" w:rsidRDefault="00DC635A" w:rsidP="00DC635A">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WGI</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C635A" w:rsidRPr="00CF1F0C" w:rsidRDefault="00DC635A" w:rsidP="00DC635A">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ICRG</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WGI</w:t>
            </w:r>
          </w:p>
        </w:tc>
        <w:tc>
          <w:tcPr>
            <w:tcW w:w="1148" w:type="dxa"/>
            <w:tcBorders>
              <w:top w:val="single" w:sz="4" w:space="0" w:color="auto"/>
              <w:left w:val="nil"/>
              <w:bottom w:val="single" w:sz="4" w:space="0" w:color="auto"/>
              <w:right w:val="single" w:sz="4" w:space="0" w:color="auto"/>
            </w:tcBorders>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Skill adm</w:t>
            </w:r>
          </w:p>
        </w:tc>
        <w:tc>
          <w:tcPr>
            <w:tcW w:w="1148" w:type="dxa"/>
            <w:tcBorders>
              <w:top w:val="single" w:sz="4" w:space="0" w:color="auto"/>
              <w:left w:val="nil"/>
              <w:bottom w:val="single" w:sz="4" w:space="0" w:color="auto"/>
              <w:right w:val="single" w:sz="4" w:space="0" w:color="auto"/>
            </w:tcBorders>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Skill admi</w:t>
            </w: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qual_edu</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0.267***</w:t>
            </w: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1.174***</w:t>
            </w: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1.364***</w:t>
            </w:r>
          </w:p>
        </w:tc>
        <w:tc>
          <w:tcPr>
            <w:tcW w:w="1148" w:type="dxa"/>
            <w:tcBorders>
              <w:top w:val="nil"/>
              <w:left w:val="nil"/>
              <w:bottom w:val="single" w:sz="4" w:space="0" w:color="auto"/>
              <w:right w:val="single" w:sz="4" w:space="0" w:color="auto"/>
            </w:tcBorders>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 </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(0.0817)</w:t>
            </w: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(0.218)</w:t>
            </w: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(0.427)</w:t>
            </w:r>
          </w:p>
        </w:tc>
        <w:tc>
          <w:tcPr>
            <w:tcW w:w="1148" w:type="dxa"/>
            <w:tcBorders>
              <w:top w:val="nil"/>
              <w:left w:val="nil"/>
              <w:bottom w:val="single" w:sz="4" w:space="0" w:color="auto"/>
              <w:right w:val="single" w:sz="4" w:space="0" w:color="auto"/>
            </w:tcBorders>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year_edu</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0.0195</w:t>
            </w: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0.0816</w:t>
            </w:r>
          </w:p>
        </w:tc>
        <w:tc>
          <w:tcPr>
            <w:tcW w:w="1148" w:type="dxa"/>
            <w:tcBorders>
              <w:top w:val="nil"/>
              <w:left w:val="nil"/>
              <w:bottom w:val="single" w:sz="4" w:space="0" w:color="auto"/>
              <w:right w:val="single" w:sz="4" w:space="0" w:color="auto"/>
            </w:tcBorders>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0.163</w:t>
            </w: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(0.0208)</w:t>
            </w: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(0.0665)</w:t>
            </w:r>
          </w:p>
        </w:tc>
        <w:tc>
          <w:tcPr>
            <w:tcW w:w="1148" w:type="dxa"/>
            <w:tcBorders>
              <w:top w:val="nil"/>
              <w:left w:val="nil"/>
              <w:bottom w:val="single" w:sz="4" w:space="0" w:color="auto"/>
              <w:right w:val="single" w:sz="4" w:space="0" w:color="auto"/>
            </w:tcBorders>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(0.0965)</w:t>
            </w: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gdpcapita_ppp</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1.14e-05***</w:t>
            </w: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3.28e-05***</w:t>
            </w: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1.65e-05***</w:t>
            </w: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5.42e-05***</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4.14e-05***</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6.36e-05***</w:t>
            </w: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 </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(1.88e-06)</w:t>
            </w: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(5.03e-06)</w:t>
            </w: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(1.79e-06)</w:t>
            </w: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(5.73e-06)</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(9.85e-06)</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(8.32e-06)</w:t>
            </w: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govexp</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0.00162</w:t>
            </w: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-0.00285</w:t>
            </w: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0.00629**</w:t>
            </w: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0.0170*</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-0.0438***</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-0.0192</w:t>
            </w: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 </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(0.00258)</w:t>
            </w: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(0.00689)</w:t>
            </w: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(0.00273)</w:t>
            </w: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(0.00871)</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(0.0135)</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(0.0127)</w:t>
            </w: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popul</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-6.18e-07*</w:t>
            </w: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-2.98e-06***</w:t>
            </w: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-6.81e-07</w:t>
            </w: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-3.31e-06**</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-3.17e-06*</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-3.71e-06*</w:t>
            </w: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 </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(3.55e-07)</w:t>
            </w: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(9.48e-07)</w:t>
            </w: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(4.57e-07)</w:t>
            </w: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(1.46e-06)</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(1.86e-06)</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(2.12e-06)</w:t>
            </w: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-0.874</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(1.927)</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8851AE">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constant</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-0.737*</w:t>
            </w: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-4.986***</w:t>
            </w: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0.0870</w:t>
            </w: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-1.250</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 </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2.741**</w:t>
            </w: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 </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(0.369)</w:t>
            </w: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(0.985)</w:t>
            </w: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(0.248)</w:t>
            </w: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(0.791)</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jc w:val="right"/>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33</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(1.149)</w:t>
            </w: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 </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 </w:t>
            </w: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 </w:t>
            </w: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 </w:t>
            </w: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0.738</w:t>
            </w:r>
          </w:p>
        </w:tc>
        <w:tc>
          <w:tcPr>
            <w:tcW w:w="1148" w:type="dxa"/>
            <w:tcBorders>
              <w:top w:val="nil"/>
              <w:left w:val="nil"/>
              <w:bottom w:val="single" w:sz="4" w:space="0" w:color="auto"/>
              <w:right w:val="single" w:sz="4" w:space="0" w:color="auto"/>
            </w:tcBorders>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Observations</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jc w:val="right"/>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33</w:t>
            </w: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jc w:val="right"/>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33</w:t>
            </w: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jc w:val="right"/>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37</w:t>
            </w: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jc w:val="right"/>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37</w:t>
            </w:r>
          </w:p>
        </w:tc>
        <w:tc>
          <w:tcPr>
            <w:tcW w:w="1148" w:type="dxa"/>
            <w:tcBorders>
              <w:top w:val="nil"/>
              <w:left w:val="nil"/>
              <w:bottom w:val="single" w:sz="4" w:space="0" w:color="auto"/>
              <w:right w:val="single" w:sz="4" w:space="0" w:color="auto"/>
            </w:tcBorders>
          </w:tcPr>
          <w:p w:rsidR="00DC635A" w:rsidRPr="00CF1F0C" w:rsidRDefault="00DC635A" w:rsidP="0085606D">
            <w:pPr>
              <w:ind w:left="0" w:firstLine="0"/>
              <w:jc w:val="right"/>
              <w:rPr>
                <w:rFonts w:ascii="Times New Roman" w:eastAsia="Times New Roman" w:hAnsi="Times New Roman" w:cs="Times New Roman"/>
                <w:color w:val="000000"/>
                <w:sz w:val="20"/>
                <w:szCs w:val="20"/>
                <w:lang w:eastAsia="pl-PL"/>
              </w:rPr>
            </w:pP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jc w:val="right"/>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37</w:t>
            </w:r>
          </w:p>
        </w:tc>
      </w:tr>
      <w:tr w:rsidR="00DC635A" w:rsidRPr="00CF1F0C" w:rsidTr="003A3CDC">
        <w:trPr>
          <w:trHeight w:val="285"/>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R-squared</w:t>
            </w:r>
          </w:p>
        </w:tc>
        <w:tc>
          <w:tcPr>
            <w:tcW w:w="1522"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0.816</w:t>
            </w:r>
          </w:p>
        </w:tc>
        <w:tc>
          <w:tcPr>
            <w:tcW w:w="1439"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0.875</w:t>
            </w:r>
          </w:p>
        </w:tc>
        <w:tc>
          <w:tcPr>
            <w:tcW w:w="1160"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0.785</w:t>
            </w:r>
          </w:p>
        </w:tc>
        <w:tc>
          <w:tcPr>
            <w:tcW w:w="1148" w:type="dxa"/>
            <w:tcBorders>
              <w:top w:val="nil"/>
              <w:left w:val="nil"/>
              <w:bottom w:val="single" w:sz="4" w:space="0" w:color="auto"/>
              <w:right w:val="single" w:sz="4" w:space="0" w:color="auto"/>
            </w:tcBorders>
            <w:shd w:val="clear" w:color="auto" w:fill="auto"/>
            <w:noWrap/>
            <w:vAlign w:val="bottom"/>
            <w:hideMark/>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0.790</w:t>
            </w:r>
          </w:p>
        </w:tc>
        <w:tc>
          <w:tcPr>
            <w:tcW w:w="1148" w:type="dxa"/>
            <w:tcBorders>
              <w:top w:val="nil"/>
              <w:left w:val="nil"/>
              <w:bottom w:val="single" w:sz="4" w:space="0" w:color="auto"/>
              <w:right w:val="single" w:sz="4" w:space="0" w:color="auto"/>
            </w:tcBorders>
          </w:tcPr>
          <w:p w:rsidR="00DC635A" w:rsidRPr="00CF1F0C" w:rsidRDefault="00DC635A" w:rsidP="0085606D">
            <w:pPr>
              <w:ind w:left="0" w:firstLine="0"/>
              <w:rPr>
                <w:rFonts w:ascii="Times New Roman" w:eastAsia="Times New Roman" w:hAnsi="Times New Roman" w:cs="Times New Roman"/>
                <w:color w:val="000000"/>
                <w:sz w:val="20"/>
                <w:szCs w:val="20"/>
                <w:lang w:eastAsia="pl-PL"/>
              </w:rPr>
            </w:pPr>
          </w:p>
        </w:tc>
        <w:tc>
          <w:tcPr>
            <w:tcW w:w="1148" w:type="dxa"/>
            <w:tcBorders>
              <w:top w:val="nil"/>
              <w:left w:val="nil"/>
              <w:bottom w:val="single" w:sz="4" w:space="0" w:color="auto"/>
              <w:right w:val="single" w:sz="4" w:space="0" w:color="auto"/>
            </w:tcBorders>
            <w:vAlign w:val="bottom"/>
          </w:tcPr>
          <w:p w:rsidR="00DC635A" w:rsidRPr="00CF1F0C" w:rsidRDefault="00DC635A" w:rsidP="003A3CDC">
            <w:pPr>
              <w:ind w:left="0" w:firstLine="0"/>
              <w:rPr>
                <w:rFonts w:ascii="Times New Roman" w:eastAsia="Times New Roman" w:hAnsi="Times New Roman" w:cs="Times New Roman"/>
                <w:color w:val="000000"/>
                <w:sz w:val="20"/>
                <w:szCs w:val="20"/>
                <w:lang w:eastAsia="pl-PL"/>
              </w:rPr>
            </w:pPr>
            <w:r w:rsidRPr="00CF1F0C">
              <w:rPr>
                <w:rFonts w:ascii="Times New Roman" w:eastAsia="Times New Roman" w:hAnsi="Times New Roman" w:cs="Times New Roman"/>
                <w:color w:val="000000"/>
                <w:sz w:val="20"/>
                <w:szCs w:val="20"/>
                <w:lang w:eastAsia="pl-PL"/>
              </w:rPr>
              <w:t>0.689</w:t>
            </w:r>
          </w:p>
        </w:tc>
      </w:tr>
    </w:tbl>
    <w:p w:rsidR="0085606D" w:rsidRPr="00CF1F0C" w:rsidRDefault="0085606D" w:rsidP="0085606D">
      <w:pPr>
        <w:autoSpaceDE w:val="0"/>
        <w:autoSpaceDN w:val="0"/>
        <w:adjustRightInd w:val="0"/>
        <w:spacing w:line="360" w:lineRule="auto"/>
        <w:ind w:left="0" w:firstLine="0"/>
        <w:rPr>
          <w:rFonts w:ascii="Times New Roman" w:eastAsia="Times New Roman" w:hAnsi="Times New Roman" w:cs="Times New Roman"/>
          <w:color w:val="000000"/>
          <w:sz w:val="16"/>
          <w:szCs w:val="16"/>
          <w:lang w:val="en-US" w:eastAsia="pl-PL"/>
        </w:rPr>
      </w:pPr>
      <w:r w:rsidRPr="00CF1F0C">
        <w:rPr>
          <w:rFonts w:ascii="Times New Roman" w:eastAsia="Times New Roman" w:hAnsi="Times New Roman" w:cs="Times New Roman"/>
          <w:color w:val="000000"/>
          <w:sz w:val="16"/>
          <w:szCs w:val="16"/>
          <w:lang w:val="en-US" w:eastAsia="pl-PL"/>
        </w:rPr>
        <w:t>Robust standard errors in parentheses, *** p&lt;0.01, ** p&lt;0.05, * p&lt;0.1</w:t>
      </w:r>
    </w:p>
    <w:p w:rsidR="00537004" w:rsidRPr="00CF1F0C" w:rsidRDefault="00537004" w:rsidP="00537004">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Source: Own calculation</w:t>
      </w:r>
    </w:p>
    <w:p w:rsidR="003A3CDC" w:rsidRPr="00CF1F0C" w:rsidRDefault="003A3CDC" w:rsidP="003A3CDC">
      <w:pPr>
        <w:autoSpaceDE w:val="0"/>
        <w:autoSpaceDN w:val="0"/>
        <w:adjustRightInd w:val="0"/>
        <w:spacing w:line="360" w:lineRule="auto"/>
        <w:ind w:left="0" w:firstLine="0"/>
        <w:rPr>
          <w:rFonts w:ascii="Times New Roman" w:hAnsi="Times New Roman" w:cs="Times New Roman"/>
          <w:bCs/>
          <w:sz w:val="20"/>
          <w:szCs w:val="20"/>
          <w:lang w:val="en-US"/>
        </w:rPr>
      </w:pPr>
      <w:r w:rsidRPr="00CF1F0C">
        <w:rPr>
          <w:rFonts w:ascii="Times New Roman" w:hAnsi="Times New Roman" w:cs="Times New Roman"/>
          <w:bCs/>
          <w:sz w:val="20"/>
          <w:szCs w:val="20"/>
          <w:lang w:val="en-US"/>
        </w:rPr>
        <w:t xml:space="preserve">All regressions were checked for heterogeneity using the White test and the Breusch- Pagan test. </w:t>
      </w:r>
    </w:p>
    <w:p w:rsidR="00FF3ECE" w:rsidRPr="00CF1F0C" w:rsidRDefault="00FF3ECE" w:rsidP="00FF3ECE">
      <w:pPr>
        <w:autoSpaceDE w:val="0"/>
        <w:autoSpaceDN w:val="0"/>
        <w:adjustRightInd w:val="0"/>
        <w:spacing w:line="360" w:lineRule="auto"/>
        <w:ind w:left="0" w:firstLine="0"/>
        <w:rPr>
          <w:rFonts w:ascii="Times New Roman" w:hAnsi="Times New Roman" w:cs="Times New Roman"/>
          <w:sz w:val="20"/>
          <w:szCs w:val="20"/>
          <w:lang w:val="en-US"/>
        </w:rPr>
      </w:pPr>
    </w:p>
    <w:p w:rsidR="00B039B3" w:rsidRPr="00CF1F0C" w:rsidRDefault="00466053" w:rsidP="00B039B3">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As shown in the top of</w:t>
      </w:r>
      <w:r w:rsidR="007B2A71" w:rsidRPr="00CF1F0C">
        <w:rPr>
          <w:rFonts w:ascii="Times New Roman" w:hAnsi="Times New Roman" w:cs="Times New Roman"/>
          <w:sz w:val="20"/>
          <w:szCs w:val="20"/>
          <w:lang w:val="en-US"/>
        </w:rPr>
        <w:t xml:space="preserve"> table,</w:t>
      </w:r>
      <w:r w:rsidRPr="00CF1F0C">
        <w:rPr>
          <w:rFonts w:ascii="Times New Roman" w:hAnsi="Times New Roman" w:cs="Times New Roman"/>
          <w:sz w:val="20"/>
          <w:szCs w:val="20"/>
          <w:lang w:val="en-US"/>
        </w:rPr>
        <w:t xml:space="preserve"> </w:t>
      </w:r>
      <w:r w:rsidR="0070398F" w:rsidRPr="00CF1F0C">
        <w:rPr>
          <w:rFonts w:ascii="Times New Roman" w:hAnsi="Times New Roman" w:cs="Times New Roman"/>
          <w:sz w:val="20"/>
          <w:szCs w:val="20"/>
          <w:lang w:val="en-US"/>
        </w:rPr>
        <w:t xml:space="preserve">the variable: years </w:t>
      </w:r>
      <w:r w:rsidRPr="00CF1F0C">
        <w:rPr>
          <w:rFonts w:ascii="Times New Roman" w:hAnsi="Times New Roman" w:cs="Times New Roman"/>
          <w:sz w:val="20"/>
          <w:szCs w:val="20"/>
          <w:lang w:val="en-US"/>
        </w:rPr>
        <w:t xml:space="preserve">of schooling is statistically </w:t>
      </w:r>
      <w:r w:rsidR="007B2A71" w:rsidRPr="00CF1F0C">
        <w:rPr>
          <w:rFonts w:ascii="Times New Roman" w:hAnsi="Times New Roman" w:cs="Times New Roman"/>
          <w:sz w:val="20"/>
          <w:szCs w:val="20"/>
          <w:lang w:val="en-US"/>
        </w:rPr>
        <w:t>in</w:t>
      </w:r>
      <w:r w:rsidRPr="00CF1F0C">
        <w:rPr>
          <w:rFonts w:ascii="Times New Roman" w:hAnsi="Times New Roman" w:cs="Times New Roman"/>
          <w:sz w:val="20"/>
          <w:szCs w:val="20"/>
          <w:lang w:val="en-US"/>
        </w:rPr>
        <w:t xml:space="preserve">significantly related to </w:t>
      </w:r>
      <w:r w:rsidR="0070398F" w:rsidRPr="00CF1F0C">
        <w:rPr>
          <w:rFonts w:ascii="Times New Roman" w:hAnsi="Times New Roman" w:cs="Times New Roman"/>
          <w:sz w:val="20"/>
          <w:szCs w:val="20"/>
          <w:lang w:val="en-US"/>
        </w:rPr>
        <w:t>quality of government.</w:t>
      </w:r>
      <w:r w:rsidR="00542040" w:rsidRPr="00CF1F0C">
        <w:rPr>
          <w:rFonts w:ascii="Times New Roman" w:hAnsi="Times New Roman" w:cs="Times New Roman"/>
          <w:sz w:val="20"/>
          <w:szCs w:val="20"/>
          <w:lang w:val="en-US"/>
        </w:rPr>
        <w:t xml:space="preserve"> A</w:t>
      </w:r>
      <w:r w:rsidR="00FB52EB" w:rsidRPr="00CF1F0C">
        <w:rPr>
          <w:rFonts w:ascii="Times New Roman" w:hAnsi="Times New Roman" w:cs="Times New Roman"/>
          <w:sz w:val="20"/>
          <w:szCs w:val="20"/>
          <w:lang w:val="en-US"/>
        </w:rPr>
        <w:t>verage years of schooling is a particularly incomplete and potentially</w:t>
      </w:r>
      <w:r w:rsidR="00542040" w:rsidRPr="00CF1F0C">
        <w:rPr>
          <w:rFonts w:ascii="Times New Roman" w:hAnsi="Times New Roman" w:cs="Times New Roman"/>
          <w:sz w:val="20"/>
          <w:szCs w:val="20"/>
          <w:lang w:val="en-US"/>
        </w:rPr>
        <w:t xml:space="preserve"> </w:t>
      </w:r>
      <w:r w:rsidR="00FB52EB" w:rsidRPr="00CF1F0C">
        <w:rPr>
          <w:rFonts w:ascii="Times New Roman" w:hAnsi="Times New Roman" w:cs="Times New Roman"/>
          <w:sz w:val="20"/>
          <w:szCs w:val="20"/>
          <w:lang w:val="en-US"/>
        </w:rPr>
        <w:t>misleading measure of education for comparing the impacts of human capital on the</w:t>
      </w:r>
      <w:r w:rsidR="00542040" w:rsidRPr="00CF1F0C">
        <w:rPr>
          <w:rFonts w:ascii="Times New Roman" w:hAnsi="Times New Roman" w:cs="Times New Roman"/>
          <w:sz w:val="20"/>
          <w:szCs w:val="20"/>
          <w:lang w:val="en-US"/>
        </w:rPr>
        <w:t xml:space="preserve"> </w:t>
      </w:r>
      <w:r w:rsidR="00FB52EB" w:rsidRPr="00CF1F0C">
        <w:rPr>
          <w:rFonts w:ascii="Times New Roman" w:hAnsi="Times New Roman" w:cs="Times New Roman"/>
          <w:sz w:val="20"/>
          <w:szCs w:val="20"/>
          <w:lang w:val="en-US"/>
        </w:rPr>
        <w:t>economies of different countries. It implicitly assumes that a year of schooling delivers</w:t>
      </w:r>
      <w:r w:rsidR="00542040" w:rsidRPr="00CF1F0C">
        <w:rPr>
          <w:rFonts w:ascii="Times New Roman" w:hAnsi="Times New Roman" w:cs="Times New Roman"/>
          <w:sz w:val="20"/>
          <w:szCs w:val="20"/>
          <w:lang w:val="en-US"/>
        </w:rPr>
        <w:t xml:space="preserve"> </w:t>
      </w:r>
      <w:r w:rsidR="00FB52EB" w:rsidRPr="00CF1F0C">
        <w:rPr>
          <w:rFonts w:ascii="Times New Roman" w:hAnsi="Times New Roman" w:cs="Times New Roman"/>
          <w:sz w:val="20"/>
          <w:szCs w:val="20"/>
          <w:lang w:val="en-US"/>
        </w:rPr>
        <w:t>the same increase in knowledge and skills reg</w:t>
      </w:r>
      <w:r w:rsidR="00B039B3" w:rsidRPr="00CF1F0C">
        <w:rPr>
          <w:rFonts w:ascii="Times New Roman" w:hAnsi="Times New Roman" w:cs="Times New Roman"/>
          <w:sz w:val="20"/>
          <w:szCs w:val="20"/>
          <w:lang w:val="en-US"/>
        </w:rPr>
        <w:t xml:space="preserve">ardless of the education system (Hanushek 2010). </w:t>
      </w:r>
      <w:r w:rsidR="00FB52EB" w:rsidRPr="00CF1F0C">
        <w:rPr>
          <w:rFonts w:ascii="Times New Roman" w:hAnsi="Times New Roman" w:cs="Times New Roman"/>
          <w:sz w:val="20"/>
          <w:szCs w:val="20"/>
          <w:lang w:val="en-US"/>
        </w:rPr>
        <w:t>It also highlights the potential role for using the international data on cognitive skills</w:t>
      </w:r>
      <w:r w:rsidR="00B039B3" w:rsidRPr="00CF1F0C">
        <w:rPr>
          <w:rFonts w:ascii="Times New Roman" w:hAnsi="Times New Roman" w:cs="Times New Roman"/>
          <w:sz w:val="20"/>
          <w:szCs w:val="20"/>
          <w:lang w:val="en-US"/>
        </w:rPr>
        <w:t xml:space="preserve"> in model. </w:t>
      </w:r>
      <w:r w:rsidR="00FF3ECE" w:rsidRPr="00CF1F0C">
        <w:rPr>
          <w:rFonts w:ascii="Times New Roman" w:hAnsi="Times New Roman" w:cs="Times New Roman"/>
          <w:sz w:val="20"/>
          <w:szCs w:val="20"/>
          <w:lang w:val="en-US"/>
        </w:rPr>
        <w:t xml:space="preserve">The </w:t>
      </w:r>
      <w:r w:rsidR="00B039B3" w:rsidRPr="00CF1F0C">
        <w:rPr>
          <w:rFonts w:ascii="Times New Roman" w:hAnsi="Times New Roman" w:cs="Times New Roman"/>
          <w:sz w:val="20"/>
          <w:szCs w:val="20"/>
          <w:lang w:val="en-US"/>
        </w:rPr>
        <w:t xml:space="preserve">last control variable that is </w:t>
      </w:r>
      <w:r w:rsidR="00FF3ECE" w:rsidRPr="00CF1F0C">
        <w:rPr>
          <w:rFonts w:ascii="Times New Roman" w:hAnsi="Times New Roman" w:cs="Times New Roman"/>
          <w:sz w:val="20"/>
          <w:szCs w:val="20"/>
          <w:lang w:val="en-US"/>
        </w:rPr>
        <w:t xml:space="preserve">used is public expenditure. The amount of money a government has available to spend is very likely to influence its performance to a great degree, as it can simply spend more money on more projects and therefore will tend to </w:t>
      </w:r>
      <w:r w:rsidR="00B039B3" w:rsidRPr="00CF1F0C">
        <w:rPr>
          <w:rFonts w:ascii="Times New Roman" w:hAnsi="Times New Roman" w:cs="Times New Roman"/>
          <w:sz w:val="20"/>
          <w:szCs w:val="20"/>
          <w:lang w:val="en-US"/>
        </w:rPr>
        <w:t>perform  better. But the results are mixed.</w:t>
      </w:r>
    </w:p>
    <w:p w:rsidR="00FF3ECE" w:rsidRPr="00CF1F0C" w:rsidRDefault="00FF3ECE" w:rsidP="00FF3ECE">
      <w:pPr>
        <w:autoSpaceDE w:val="0"/>
        <w:autoSpaceDN w:val="0"/>
        <w:adjustRightInd w:val="0"/>
        <w:spacing w:line="360" w:lineRule="auto"/>
        <w:ind w:left="0" w:firstLine="0"/>
        <w:rPr>
          <w:rFonts w:ascii="Times New Roman" w:hAnsi="Times New Roman" w:cs="Times New Roman"/>
          <w:sz w:val="20"/>
          <w:szCs w:val="20"/>
          <w:lang w:val="en-US"/>
        </w:rPr>
      </w:pPr>
    </w:p>
    <w:p w:rsidR="005C06A4" w:rsidRPr="00CF1F0C" w:rsidRDefault="005C06A4" w:rsidP="00427DE1">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Conclusion</w:t>
      </w:r>
    </w:p>
    <w:p w:rsidR="005C06A4" w:rsidRPr="00CF1F0C" w:rsidRDefault="00D96A9E" w:rsidP="00427DE1">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In this paper we have explored the </w:t>
      </w:r>
      <w:r w:rsidR="005F4954" w:rsidRPr="00CF1F0C">
        <w:rPr>
          <w:rFonts w:ascii="Times New Roman" w:hAnsi="Times New Roman" w:cs="Times New Roman"/>
          <w:sz w:val="20"/>
          <w:szCs w:val="20"/>
          <w:lang w:val="en-US"/>
        </w:rPr>
        <w:t>impact of education on the</w:t>
      </w:r>
      <w:r w:rsidRPr="00CF1F0C">
        <w:rPr>
          <w:rFonts w:ascii="Times New Roman" w:hAnsi="Times New Roman" w:cs="Times New Roman"/>
          <w:sz w:val="20"/>
          <w:szCs w:val="20"/>
          <w:lang w:val="en-US"/>
        </w:rPr>
        <w:t xml:space="preserve"> variation in government performance </w:t>
      </w:r>
      <w:r w:rsidR="005F4954" w:rsidRPr="00CF1F0C">
        <w:rPr>
          <w:rFonts w:ascii="Times New Roman" w:hAnsi="Times New Roman" w:cs="Times New Roman"/>
          <w:sz w:val="20"/>
          <w:szCs w:val="20"/>
          <w:lang w:val="en-US"/>
        </w:rPr>
        <w:t>in 37 countries</w:t>
      </w:r>
      <w:r w:rsidRPr="00CF1F0C">
        <w:rPr>
          <w:rFonts w:ascii="Times New Roman" w:hAnsi="Times New Roman" w:cs="Times New Roman"/>
          <w:sz w:val="20"/>
          <w:szCs w:val="20"/>
          <w:lang w:val="en-US"/>
        </w:rPr>
        <w:t xml:space="preserve">. Our explanation </w:t>
      </w:r>
      <w:r w:rsidR="005F4954" w:rsidRPr="00CF1F0C">
        <w:rPr>
          <w:rFonts w:ascii="Times New Roman" w:hAnsi="Times New Roman" w:cs="Times New Roman"/>
          <w:sz w:val="20"/>
          <w:szCs w:val="20"/>
          <w:lang w:val="en-US"/>
        </w:rPr>
        <w:t xml:space="preserve">of this connection </w:t>
      </w:r>
      <w:r w:rsidRPr="00CF1F0C">
        <w:rPr>
          <w:rFonts w:ascii="Times New Roman" w:hAnsi="Times New Roman" w:cs="Times New Roman"/>
          <w:sz w:val="20"/>
          <w:szCs w:val="20"/>
          <w:lang w:val="en-US"/>
        </w:rPr>
        <w:t>is straightforward. How well any government functions simply hinges on how good citizens are at making their administration and politicians accountable for their actions.</w:t>
      </w:r>
      <w:r w:rsidR="00656877" w:rsidRPr="00CF1F0C">
        <w:rPr>
          <w:rFonts w:ascii="Times New Roman" w:hAnsi="Times New Roman" w:cs="Times New Roman"/>
          <w:sz w:val="20"/>
          <w:szCs w:val="20"/>
          <w:lang w:val="en-US"/>
        </w:rPr>
        <w:t xml:space="preserve"> Control of public officials depends on two factors. First, elections allow citizens to discipline politicians to </w:t>
      </w:r>
      <w:r w:rsidR="00656877" w:rsidRPr="00CF1F0C">
        <w:rPr>
          <w:rFonts w:ascii="Times New Roman" w:hAnsi="Times New Roman" w:cs="Times New Roman"/>
          <w:sz w:val="20"/>
          <w:szCs w:val="20"/>
          <w:lang w:val="en-US"/>
        </w:rPr>
        <w:lastRenderedPageBreak/>
        <w:t xml:space="preserve">respond to the voters’ interest. Second, the recruitment </w:t>
      </w:r>
      <w:r w:rsidR="006C6183" w:rsidRPr="00CF1F0C">
        <w:rPr>
          <w:rFonts w:ascii="Times New Roman" w:hAnsi="Times New Roman" w:cs="Times New Roman"/>
          <w:sz w:val="20"/>
          <w:szCs w:val="20"/>
          <w:lang w:val="en-US"/>
        </w:rPr>
        <w:t>of good</w:t>
      </w:r>
      <w:r w:rsidR="00656877" w:rsidRPr="00CF1F0C">
        <w:rPr>
          <w:rFonts w:ascii="Times New Roman" w:hAnsi="Times New Roman" w:cs="Times New Roman"/>
          <w:sz w:val="20"/>
          <w:szCs w:val="20"/>
          <w:lang w:val="en-US"/>
        </w:rPr>
        <w:t xml:space="preserve"> public officers. </w:t>
      </w:r>
      <w:r w:rsidR="00427DE1" w:rsidRPr="00CF1F0C">
        <w:rPr>
          <w:rFonts w:ascii="Times New Roman" w:hAnsi="Times New Roman" w:cs="Times New Roman"/>
          <w:sz w:val="20"/>
          <w:szCs w:val="20"/>
          <w:lang w:val="en-US"/>
        </w:rPr>
        <w:t xml:space="preserve">This paper has addressed one important </w:t>
      </w:r>
      <w:r w:rsidR="00427DE1" w:rsidRPr="00CF1F0C">
        <w:rPr>
          <w:rFonts w:ascii="Times New Roman" w:hAnsi="Times New Roman" w:cs="Times New Roman"/>
          <w:iCs/>
          <w:sz w:val="20"/>
          <w:szCs w:val="20"/>
          <w:lang w:val="en-US"/>
        </w:rPr>
        <w:t xml:space="preserve">question </w:t>
      </w:r>
      <w:r w:rsidR="00427DE1" w:rsidRPr="00CF1F0C">
        <w:rPr>
          <w:rFonts w:ascii="Times New Roman" w:hAnsi="Times New Roman" w:cs="Times New Roman"/>
          <w:sz w:val="20"/>
          <w:szCs w:val="20"/>
          <w:lang w:val="en-US"/>
        </w:rPr>
        <w:t xml:space="preserve">in comparative politics: Has education of society impact on public administration? </w:t>
      </w:r>
      <w:r w:rsidR="005C06A4" w:rsidRPr="00CF1F0C">
        <w:rPr>
          <w:rFonts w:ascii="Times New Roman" w:hAnsi="Times New Roman" w:cs="Times New Roman"/>
          <w:sz w:val="20"/>
          <w:szCs w:val="20"/>
          <w:lang w:val="en-US"/>
        </w:rPr>
        <w:t xml:space="preserve">Since, the effective operation of government institutions depends on the ability of citizens to hold administration accountable for the quality of the governance they provide, education will produce good governance to the extent that it makes citizens consumers of </w:t>
      </w:r>
      <w:r w:rsidRPr="00CF1F0C">
        <w:rPr>
          <w:rFonts w:ascii="Times New Roman" w:hAnsi="Times New Roman" w:cs="Times New Roman"/>
          <w:sz w:val="20"/>
          <w:szCs w:val="20"/>
          <w:lang w:val="en-US"/>
        </w:rPr>
        <w:t>government activity</w:t>
      </w:r>
      <w:r w:rsidR="005C06A4" w:rsidRPr="00CF1F0C">
        <w:rPr>
          <w:rFonts w:ascii="Times New Roman" w:hAnsi="Times New Roman" w:cs="Times New Roman"/>
          <w:sz w:val="20"/>
          <w:szCs w:val="20"/>
          <w:lang w:val="en-US"/>
        </w:rPr>
        <w:t xml:space="preserve">. Active participation help do this by providing opportunities for citizens to discuss civic affairs, increase their awareness of political issues and argue about whether </w:t>
      </w:r>
      <w:r w:rsidR="005F4954" w:rsidRPr="00CF1F0C">
        <w:rPr>
          <w:rFonts w:ascii="Times New Roman" w:hAnsi="Times New Roman" w:cs="Times New Roman"/>
          <w:sz w:val="20"/>
          <w:szCs w:val="20"/>
          <w:lang w:val="en-US"/>
        </w:rPr>
        <w:t>t</w:t>
      </w:r>
      <w:r w:rsidR="005C06A4" w:rsidRPr="00CF1F0C">
        <w:rPr>
          <w:rFonts w:ascii="Times New Roman" w:hAnsi="Times New Roman" w:cs="Times New Roman"/>
          <w:sz w:val="20"/>
          <w:szCs w:val="20"/>
          <w:lang w:val="en-US"/>
        </w:rPr>
        <w:t xml:space="preserve">he government is doing everything to improve welfare. Knowing that their </w:t>
      </w:r>
      <w:r w:rsidR="00754897" w:rsidRPr="00CF1F0C">
        <w:rPr>
          <w:rFonts w:ascii="Times New Roman" w:hAnsi="Times New Roman" w:cs="Times New Roman"/>
          <w:sz w:val="20"/>
          <w:szCs w:val="20"/>
          <w:lang w:val="en-US"/>
        </w:rPr>
        <w:t>government officials</w:t>
      </w:r>
      <w:r w:rsidR="005C06A4" w:rsidRPr="00CF1F0C">
        <w:rPr>
          <w:rFonts w:ascii="Times New Roman" w:hAnsi="Times New Roman" w:cs="Times New Roman"/>
          <w:sz w:val="20"/>
          <w:szCs w:val="20"/>
          <w:lang w:val="en-US"/>
        </w:rPr>
        <w:t xml:space="preserve"> are monitoring, administration elites will wo</w:t>
      </w:r>
      <w:r w:rsidR="00754897" w:rsidRPr="00CF1F0C">
        <w:rPr>
          <w:rFonts w:ascii="Times New Roman" w:hAnsi="Times New Roman" w:cs="Times New Roman"/>
          <w:sz w:val="20"/>
          <w:szCs w:val="20"/>
          <w:lang w:val="en-US"/>
        </w:rPr>
        <w:t>rk harder to govern effectively</w:t>
      </w:r>
      <w:r w:rsidR="005C06A4" w:rsidRPr="00CF1F0C">
        <w:rPr>
          <w:rFonts w:ascii="Times New Roman" w:hAnsi="Times New Roman" w:cs="Times New Roman"/>
          <w:sz w:val="20"/>
          <w:szCs w:val="20"/>
          <w:lang w:val="en-US"/>
        </w:rPr>
        <w:t>.</w:t>
      </w:r>
      <w:r w:rsidR="00427DE1" w:rsidRPr="00CF1F0C">
        <w:rPr>
          <w:rFonts w:ascii="Times New Roman" w:hAnsi="Times New Roman" w:cs="Times New Roman"/>
          <w:sz w:val="20"/>
          <w:szCs w:val="20"/>
          <w:lang w:val="en-US"/>
        </w:rPr>
        <w:t xml:space="preserve"> </w:t>
      </w:r>
      <w:r w:rsidR="00754897" w:rsidRPr="00CF1F0C">
        <w:rPr>
          <w:rFonts w:ascii="Times New Roman" w:hAnsi="Times New Roman" w:cs="Times New Roman"/>
          <w:sz w:val="20"/>
          <w:szCs w:val="20"/>
          <w:lang w:val="en-US"/>
        </w:rPr>
        <w:t>In this paper w</w:t>
      </w:r>
      <w:r w:rsidR="00427DE1" w:rsidRPr="00CF1F0C">
        <w:rPr>
          <w:rFonts w:ascii="Times New Roman" w:hAnsi="Times New Roman" w:cs="Times New Roman"/>
          <w:sz w:val="20"/>
          <w:szCs w:val="20"/>
          <w:lang w:val="en-US"/>
        </w:rPr>
        <w:t xml:space="preserve">e synthesize a relevant literatures based on principal theory and human capital explanations. </w:t>
      </w:r>
      <w:r w:rsidR="00754897" w:rsidRPr="00CF1F0C">
        <w:rPr>
          <w:rFonts w:ascii="Times New Roman" w:hAnsi="Times New Roman" w:cs="Times New Roman"/>
          <w:sz w:val="20"/>
          <w:szCs w:val="20"/>
          <w:lang w:val="en-US"/>
        </w:rPr>
        <w:t>W</w:t>
      </w:r>
      <w:r w:rsidR="00427DE1" w:rsidRPr="00CF1F0C">
        <w:rPr>
          <w:rFonts w:ascii="Times New Roman" w:hAnsi="Times New Roman" w:cs="Times New Roman"/>
          <w:sz w:val="20"/>
          <w:szCs w:val="20"/>
          <w:lang w:val="en-US"/>
        </w:rPr>
        <w:t>e find positive correlation</w:t>
      </w:r>
      <w:r w:rsidR="005F4954" w:rsidRPr="00CF1F0C">
        <w:rPr>
          <w:rFonts w:ascii="Times New Roman" w:hAnsi="Times New Roman" w:cs="Times New Roman"/>
          <w:sz w:val="20"/>
          <w:szCs w:val="20"/>
          <w:lang w:val="en-US"/>
        </w:rPr>
        <w:t xml:space="preserve"> between quality of education and administration</w:t>
      </w:r>
      <w:r w:rsidR="00427DE1" w:rsidRPr="00CF1F0C">
        <w:rPr>
          <w:rFonts w:ascii="Times New Roman" w:hAnsi="Times New Roman" w:cs="Times New Roman"/>
          <w:sz w:val="20"/>
          <w:szCs w:val="20"/>
          <w:lang w:val="en-US"/>
        </w:rPr>
        <w:t xml:space="preserve">. In countries, when level of education is low, citizens’ demand for longterm investments in bureaucratic capacity is also low. They expect leaders to provide basic services more in line with the patron-client model. </w:t>
      </w:r>
    </w:p>
    <w:p w:rsidR="00427DE1" w:rsidRPr="00CF1F0C" w:rsidRDefault="00427DE1" w:rsidP="009F6FA4">
      <w:pPr>
        <w:autoSpaceDE w:val="0"/>
        <w:autoSpaceDN w:val="0"/>
        <w:adjustRightInd w:val="0"/>
        <w:spacing w:line="360" w:lineRule="auto"/>
        <w:ind w:left="0" w:firstLine="0"/>
        <w:jc w:val="both"/>
        <w:rPr>
          <w:rFonts w:ascii="Times New Roman" w:hAnsi="Times New Roman" w:cs="Times New Roman"/>
          <w:sz w:val="20"/>
          <w:szCs w:val="20"/>
          <w:lang w:val="en-US"/>
        </w:rPr>
      </w:pPr>
    </w:p>
    <w:p w:rsidR="002F1581" w:rsidRPr="00CF1F0C" w:rsidRDefault="00427DE1" w:rsidP="00B43970">
      <w:pPr>
        <w:autoSpaceDE w:val="0"/>
        <w:autoSpaceDN w:val="0"/>
        <w:adjustRightInd w:val="0"/>
        <w:spacing w:line="360" w:lineRule="auto"/>
        <w:ind w:left="0" w:firstLine="0"/>
        <w:jc w:val="both"/>
        <w:rPr>
          <w:rFonts w:ascii="Times New Roman" w:hAnsi="Times New Roman" w:cs="Times New Roman"/>
          <w:sz w:val="20"/>
          <w:szCs w:val="20"/>
          <w:lang w:val="en-US"/>
        </w:rPr>
      </w:pPr>
      <w:r w:rsidRPr="00CF1F0C">
        <w:rPr>
          <w:rFonts w:ascii="Times New Roman" w:hAnsi="Times New Roman" w:cs="Times New Roman"/>
          <w:sz w:val="20"/>
          <w:szCs w:val="20"/>
          <w:lang w:val="en-US"/>
        </w:rPr>
        <w:t>Our empirical results and conclusion are similar those of Lipset (1960): a democracy, to perform properly, to develop QoG, needs as a “prerequisite” some level of economic</w:t>
      </w:r>
      <w:r w:rsidR="009F6FA4"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development.</w:t>
      </w:r>
      <w:r w:rsidR="009F6FA4" w:rsidRPr="00CF1F0C">
        <w:rPr>
          <w:rFonts w:ascii="Times New Roman" w:hAnsi="Times New Roman" w:cs="Times New Roman"/>
          <w:sz w:val="20"/>
          <w:szCs w:val="20"/>
          <w:lang w:val="en-US"/>
        </w:rPr>
        <w:t xml:space="preserve"> To start with, income increases may foster QoG because</w:t>
      </w:r>
      <w:r w:rsidR="00544370" w:rsidRPr="00CF1F0C">
        <w:rPr>
          <w:rFonts w:ascii="Times New Roman" w:hAnsi="Times New Roman" w:cs="Times New Roman"/>
          <w:sz w:val="20"/>
          <w:szCs w:val="20"/>
          <w:lang w:val="en-US"/>
        </w:rPr>
        <w:t xml:space="preserve"> </w:t>
      </w:r>
      <w:r w:rsidR="009F6FA4" w:rsidRPr="00CF1F0C">
        <w:rPr>
          <w:rFonts w:ascii="Times New Roman" w:hAnsi="Times New Roman" w:cs="Times New Roman"/>
          <w:sz w:val="20"/>
          <w:szCs w:val="20"/>
          <w:lang w:val="en-US"/>
        </w:rPr>
        <w:t xml:space="preserve">countries can be expected to afford better institutions and many variables correlated with income, such as schooling levels or urbanization, may decrease the social tolerance of </w:t>
      </w:r>
      <w:r w:rsidR="00754897" w:rsidRPr="00CF1F0C">
        <w:rPr>
          <w:rFonts w:ascii="Times New Roman" w:hAnsi="Times New Roman" w:cs="Times New Roman"/>
          <w:sz w:val="20"/>
          <w:szCs w:val="20"/>
          <w:lang w:val="en-US"/>
        </w:rPr>
        <w:t>“bad governance”</w:t>
      </w:r>
      <w:r w:rsidR="009F6FA4" w:rsidRPr="00CF1F0C">
        <w:rPr>
          <w:rFonts w:ascii="Times New Roman" w:hAnsi="Times New Roman" w:cs="Times New Roman"/>
          <w:sz w:val="20"/>
          <w:szCs w:val="20"/>
          <w:lang w:val="en-US"/>
        </w:rPr>
        <w:t xml:space="preserve">. </w:t>
      </w:r>
      <w:r w:rsidR="00CF456A" w:rsidRPr="00CF1F0C">
        <w:rPr>
          <w:rFonts w:ascii="Times New Roman" w:eastAsia="TimesNewRoman" w:hAnsi="Times New Roman" w:cs="Times New Roman"/>
          <w:sz w:val="20"/>
          <w:szCs w:val="20"/>
          <w:lang w:val="en-US"/>
        </w:rPr>
        <w:t xml:space="preserve">An alternative view of bad government in countries holds that low productivity of government services is explained by </w:t>
      </w:r>
      <w:r w:rsidR="00CF456A" w:rsidRPr="00CF1F0C">
        <w:rPr>
          <w:rFonts w:ascii="Times New Roman" w:hAnsi="Times New Roman" w:cs="Times New Roman"/>
          <w:sz w:val="20"/>
          <w:szCs w:val="20"/>
          <w:lang w:val="en-US"/>
        </w:rPr>
        <w:t xml:space="preserve">recruitment process. In order to improve bureaucratic performance, one should select “better types”. This can be done through two related procedures. First option would be to select the most competent candidates. The second mechanism would autonomy from politics. </w:t>
      </w:r>
      <w:r w:rsidR="00C93092" w:rsidRPr="00CF1F0C">
        <w:rPr>
          <w:rFonts w:ascii="Times New Roman" w:hAnsi="Times New Roman" w:cs="Times New Roman"/>
          <w:sz w:val="20"/>
          <w:szCs w:val="20"/>
          <w:lang w:val="en-US"/>
        </w:rPr>
        <w:t xml:space="preserve">Our analysis demonstrates that </w:t>
      </w:r>
      <w:r w:rsidR="00D96A9E" w:rsidRPr="00CF1F0C">
        <w:rPr>
          <w:rFonts w:ascii="Times New Roman" w:hAnsi="Times New Roman" w:cs="Times New Roman"/>
          <w:sz w:val="20"/>
          <w:szCs w:val="20"/>
          <w:lang w:val="en-US"/>
        </w:rPr>
        <w:t xml:space="preserve">higher quality of </w:t>
      </w:r>
      <w:r w:rsidR="00C93092" w:rsidRPr="00CF1F0C">
        <w:rPr>
          <w:rFonts w:ascii="Times New Roman" w:hAnsi="Times New Roman" w:cs="Times New Roman"/>
          <w:sz w:val="20"/>
          <w:szCs w:val="20"/>
          <w:lang w:val="en-US"/>
        </w:rPr>
        <w:t xml:space="preserve">education leads to a </w:t>
      </w:r>
      <w:r w:rsidR="00D96A9E" w:rsidRPr="00CF1F0C">
        <w:rPr>
          <w:rFonts w:ascii="Times New Roman" w:hAnsi="Times New Roman" w:cs="Times New Roman"/>
          <w:sz w:val="20"/>
          <w:szCs w:val="20"/>
          <w:lang w:val="en-US"/>
        </w:rPr>
        <w:t xml:space="preserve">higher </w:t>
      </w:r>
      <w:r w:rsidR="00C93092" w:rsidRPr="00CF1F0C">
        <w:rPr>
          <w:rFonts w:ascii="Times New Roman" w:hAnsi="Times New Roman" w:cs="Times New Roman"/>
          <w:sz w:val="20"/>
          <w:szCs w:val="20"/>
          <w:lang w:val="en-US"/>
        </w:rPr>
        <w:t>quality of the public administration even after controlling for various socioeconomic between countries.</w:t>
      </w:r>
    </w:p>
    <w:p w:rsidR="00180A90" w:rsidRPr="00CF1F0C" w:rsidRDefault="00180A90" w:rsidP="00180A90">
      <w:pPr>
        <w:ind w:left="0" w:firstLine="0"/>
        <w:rPr>
          <w:rFonts w:ascii="Times New Roman" w:hAnsi="Times New Roman" w:cs="Times New Roman"/>
          <w:sz w:val="20"/>
          <w:szCs w:val="20"/>
          <w:lang w:val="en-US"/>
        </w:rPr>
      </w:pPr>
    </w:p>
    <w:p w:rsidR="00180A90" w:rsidRPr="00CF1F0C" w:rsidRDefault="00180A90" w:rsidP="00180A90">
      <w:pPr>
        <w:spacing w:line="360" w:lineRule="auto"/>
        <w:ind w:left="0" w:firstLine="0"/>
        <w:rPr>
          <w:rFonts w:ascii="Times New Roman" w:hAnsi="Times New Roman" w:cs="Times New Roman"/>
          <w:b/>
          <w:sz w:val="20"/>
          <w:szCs w:val="20"/>
          <w:lang w:val="en-US"/>
        </w:rPr>
      </w:pPr>
      <w:r w:rsidRPr="00CF1F0C">
        <w:rPr>
          <w:rFonts w:ascii="Times New Roman" w:hAnsi="Times New Roman" w:cs="Times New Roman"/>
          <w:b/>
          <w:sz w:val="20"/>
          <w:szCs w:val="20"/>
          <w:lang w:val="en-US"/>
        </w:rPr>
        <w:t>References</w:t>
      </w:r>
    </w:p>
    <w:p w:rsidR="00180A90" w:rsidRPr="00CF1F0C" w:rsidRDefault="00180A90"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Acemoglu, Daron, Simon Johnson, and James A. Robinson. 2001. The Colonial Origins of Comparative</w:t>
      </w:r>
      <w:r w:rsidR="00544370" w:rsidRPr="00CF1F0C">
        <w:rPr>
          <w:rFonts w:ascii="Times New Roman" w:hAnsi="Times New Roman" w:cs="Times New Roman"/>
          <w:sz w:val="20"/>
          <w:szCs w:val="20"/>
          <w:lang w:val="en-US"/>
        </w:rPr>
        <w:t xml:space="preserve"> </w:t>
      </w:r>
      <w:r w:rsidRPr="00CF1F0C">
        <w:rPr>
          <w:rFonts w:ascii="Times New Roman" w:hAnsi="Times New Roman" w:cs="Times New Roman"/>
          <w:sz w:val="20"/>
          <w:szCs w:val="20"/>
          <w:lang w:val="en-US"/>
        </w:rPr>
        <w:t xml:space="preserve">Development: An Empirical Investigation. </w:t>
      </w:r>
      <w:r w:rsidRPr="00CF1F0C">
        <w:rPr>
          <w:rFonts w:ascii="Times New Roman" w:hAnsi="Times New Roman" w:cs="Times New Roman"/>
          <w:iCs/>
          <w:sz w:val="20"/>
          <w:szCs w:val="20"/>
          <w:lang w:val="en-US"/>
        </w:rPr>
        <w:t xml:space="preserve">The American Economic Review </w:t>
      </w:r>
      <w:r w:rsidRPr="00CF1F0C">
        <w:rPr>
          <w:rFonts w:ascii="Times New Roman" w:hAnsi="Times New Roman" w:cs="Times New Roman"/>
          <w:sz w:val="20"/>
          <w:szCs w:val="20"/>
          <w:lang w:val="en-US"/>
        </w:rPr>
        <w:t>91</w:t>
      </w:r>
      <w:r w:rsidR="00F12185" w:rsidRPr="00CF1F0C">
        <w:rPr>
          <w:rFonts w:ascii="Times New Roman" w:hAnsi="Times New Roman" w:cs="Times New Roman"/>
          <w:sz w:val="20"/>
          <w:szCs w:val="20"/>
          <w:lang w:val="en-US"/>
        </w:rPr>
        <w:t>:</w:t>
      </w:r>
      <w:r w:rsidRPr="00CF1F0C">
        <w:rPr>
          <w:rFonts w:ascii="Times New Roman" w:hAnsi="Times New Roman" w:cs="Times New Roman"/>
          <w:sz w:val="20"/>
          <w:szCs w:val="20"/>
          <w:lang w:val="en-US"/>
        </w:rPr>
        <w:t xml:space="preserve"> 1369-401.</w:t>
      </w:r>
    </w:p>
    <w:p w:rsidR="00F12185" w:rsidRPr="00CF1F0C" w:rsidRDefault="00F12185"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Afonso, Antonio, Ludger Schuknecht, and Vito Tanzi. 2005. Public sector efficiency: an international comparison. Public choice 123 (3-4): 321-347.</w:t>
      </w:r>
    </w:p>
    <w:p w:rsidR="00180A90" w:rsidRPr="00CF1F0C" w:rsidRDefault="00180A90"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Ahrens, Joachim and Martin Meurers</w:t>
      </w:r>
      <w:r w:rsidR="00F12185" w:rsidRPr="00CF1F0C">
        <w:rPr>
          <w:rFonts w:ascii="Times New Roman" w:hAnsi="Times New Roman" w:cs="Times New Roman"/>
          <w:sz w:val="20"/>
          <w:szCs w:val="20"/>
          <w:lang w:val="en-US"/>
        </w:rPr>
        <w:t>.</w:t>
      </w:r>
      <w:r w:rsidRPr="00CF1F0C">
        <w:rPr>
          <w:rFonts w:ascii="Times New Roman" w:hAnsi="Times New Roman" w:cs="Times New Roman"/>
          <w:sz w:val="20"/>
          <w:szCs w:val="20"/>
          <w:lang w:val="en-US"/>
        </w:rPr>
        <w:t xml:space="preserve"> 2002. How Governance Affects the Quality of Policy Reform and Economic Performance: New Evidence for Economies in Transition, </w:t>
      </w:r>
      <w:r w:rsidRPr="00CF1F0C">
        <w:rPr>
          <w:rFonts w:ascii="Times New Roman" w:hAnsi="Times New Roman" w:cs="Times New Roman"/>
          <w:iCs/>
          <w:sz w:val="20"/>
          <w:szCs w:val="20"/>
          <w:lang w:val="en-US"/>
        </w:rPr>
        <w:t>Journal of Institutional Innovation, Development and Transition</w:t>
      </w:r>
      <w:r w:rsidRPr="00CF1F0C">
        <w:rPr>
          <w:rFonts w:ascii="Times New Roman" w:hAnsi="Times New Roman" w:cs="Times New Roman"/>
          <w:sz w:val="20"/>
          <w:szCs w:val="20"/>
          <w:lang w:val="en-US"/>
        </w:rPr>
        <w:t xml:space="preserve"> 6</w:t>
      </w:r>
      <w:r w:rsidR="00F12185" w:rsidRPr="00CF1F0C">
        <w:rPr>
          <w:rFonts w:ascii="Times New Roman" w:hAnsi="Times New Roman" w:cs="Times New Roman"/>
          <w:sz w:val="20"/>
          <w:szCs w:val="20"/>
          <w:lang w:val="en-US"/>
        </w:rPr>
        <w:t>:</w:t>
      </w:r>
      <w:r w:rsidRPr="00CF1F0C">
        <w:rPr>
          <w:rFonts w:ascii="Times New Roman" w:hAnsi="Times New Roman" w:cs="Times New Roman"/>
          <w:sz w:val="20"/>
          <w:szCs w:val="20"/>
          <w:lang w:val="en-US"/>
        </w:rPr>
        <w:t xml:space="preserve"> 35–56.</w:t>
      </w:r>
    </w:p>
    <w:p w:rsidR="00180A90" w:rsidRPr="00CF1F0C" w:rsidRDefault="00F12185"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Bai, Chong-En, and Shang-Jin Wei. 2000. Quality of bureaucracy and open-economy macro policies. National Bureau of Economic Research. </w:t>
      </w:r>
      <w:r w:rsidR="00180A90" w:rsidRPr="00CF1F0C">
        <w:rPr>
          <w:rFonts w:ascii="Times New Roman" w:hAnsi="Times New Roman" w:cs="Times New Roman"/>
          <w:sz w:val="20"/>
          <w:szCs w:val="20"/>
          <w:lang w:val="en-US"/>
        </w:rPr>
        <w:t>Working Paper Series, Working Paper 7766.</w:t>
      </w:r>
    </w:p>
    <w:p w:rsidR="009F7B98" w:rsidRPr="00CF1F0C" w:rsidRDefault="009F7B98"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Dahlström, Carl, Victor Lapuente, and Jan Teorell. 2010. Dimensions of bureaucracy. A cross-national dataset on the structure and behavior of public administration." QoG Working Paper Series 13.</w:t>
      </w:r>
    </w:p>
    <w:p w:rsidR="009F7B98" w:rsidRPr="00CF1F0C" w:rsidRDefault="009F7B98"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Evans, Peter, and James E. Rauch. "Bureaucracy and growth: a cross-national analysis of the effects of Weberian" state structures on economic growth. 1999. American Sociological Review 64 (5): 748-765.</w:t>
      </w:r>
    </w:p>
    <w:p w:rsidR="009F7B98" w:rsidRPr="00CF1F0C" w:rsidRDefault="009F7B98"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Kaufmann, Daniel, Aart Kraay, and Massimo Mastruzzi. 2009. Governance matters VIII: aggregate and individual governance indicators, 1996-2008." World </w:t>
      </w:r>
      <w:r w:rsidR="007D400E" w:rsidRPr="00CF1F0C">
        <w:rPr>
          <w:rFonts w:ascii="Times New Roman" w:hAnsi="Times New Roman" w:cs="Times New Roman"/>
          <w:sz w:val="20"/>
          <w:szCs w:val="20"/>
          <w:lang w:val="en-US"/>
        </w:rPr>
        <w:t>B</w:t>
      </w:r>
      <w:r w:rsidRPr="00CF1F0C">
        <w:rPr>
          <w:rFonts w:ascii="Times New Roman" w:hAnsi="Times New Roman" w:cs="Times New Roman"/>
          <w:sz w:val="20"/>
          <w:szCs w:val="20"/>
          <w:lang w:val="en-US"/>
        </w:rPr>
        <w:t>ank</w:t>
      </w:r>
      <w:r w:rsidR="007D400E" w:rsidRPr="00CF1F0C">
        <w:rPr>
          <w:rFonts w:ascii="Times New Roman" w:hAnsi="Times New Roman" w:cs="Times New Roman"/>
          <w:sz w:val="20"/>
          <w:szCs w:val="20"/>
          <w:lang w:val="en-US"/>
        </w:rPr>
        <w:t>.</w:t>
      </w:r>
      <w:r w:rsidRPr="00CF1F0C">
        <w:rPr>
          <w:rFonts w:ascii="Times New Roman" w:hAnsi="Times New Roman" w:cs="Times New Roman"/>
          <w:sz w:val="20"/>
          <w:szCs w:val="20"/>
          <w:lang w:val="en-US"/>
        </w:rPr>
        <w:t xml:space="preserve"> </w:t>
      </w:r>
      <w:r w:rsidR="007D400E" w:rsidRPr="00CF1F0C">
        <w:rPr>
          <w:rFonts w:ascii="Times New Roman" w:hAnsi="Times New Roman" w:cs="Times New Roman"/>
          <w:sz w:val="20"/>
          <w:szCs w:val="20"/>
          <w:lang w:val="en-US"/>
        </w:rPr>
        <w:t>P</w:t>
      </w:r>
      <w:r w:rsidRPr="00CF1F0C">
        <w:rPr>
          <w:rFonts w:ascii="Times New Roman" w:hAnsi="Times New Roman" w:cs="Times New Roman"/>
          <w:sz w:val="20"/>
          <w:szCs w:val="20"/>
          <w:lang w:val="en-US"/>
        </w:rPr>
        <w:t xml:space="preserve">olicy </w:t>
      </w:r>
      <w:r w:rsidR="007D400E" w:rsidRPr="00CF1F0C">
        <w:rPr>
          <w:rFonts w:ascii="Times New Roman" w:hAnsi="Times New Roman" w:cs="Times New Roman"/>
          <w:sz w:val="20"/>
          <w:szCs w:val="20"/>
          <w:lang w:val="en-US"/>
        </w:rPr>
        <w:t>R</w:t>
      </w:r>
      <w:r w:rsidRPr="00CF1F0C">
        <w:rPr>
          <w:rFonts w:ascii="Times New Roman" w:hAnsi="Times New Roman" w:cs="Times New Roman"/>
          <w:sz w:val="20"/>
          <w:szCs w:val="20"/>
          <w:lang w:val="en-US"/>
        </w:rPr>
        <w:t>e</w:t>
      </w:r>
      <w:r w:rsidR="007D400E" w:rsidRPr="00CF1F0C">
        <w:rPr>
          <w:rFonts w:ascii="Times New Roman" w:hAnsi="Times New Roman" w:cs="Times New Roman"/>
          <w:sz w:val="20"/>
          <w:szCs w:val="20"/>
          <w:lang w:val="en-US"/>
        </w:rPr>
        <w:t>search Working Paper 4978</w:t>
      </w:r>
      <w:r w:rsidRPr="00CF1F0C">
        <w:rPr>
          <w:rFonts w:ascii="Times New Roman" w:hAnsi="Times New Roman" w:cs="Times New Roman"/>
          <w:sz w:val="20"/>
          <w:szCs w:val="20"/>
          <w:lang w:val="en-US"/>
        </w:rPr>
        <w:t>.</w:t>
      </w:r>
    </w:p>
    <w:p w:rsidR="00B039B3" w:rsidRPr="00CF1F0C" w:rsidRDefault="00B039B3" w:rsidP="00B039B3">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lastRenderedPageBreak/>
        <w:t>Hanushek, Eric A., and Ludger Woessmann. 2010. The economics of international differences in educational achievement. National Bureau of Economic Research 15949.</w:t>
      </w:r>
    </w:p>
    <w:p w:rsidR="00180A90" w:rsidRPr="00CF1F0C" w:rsidRDefault="00180A90"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La Porta, Rafael, Florencio Lopez-de-Silanes, Andrei Shleifer, and Robert Vishny. 1999. The Quality of Government. </w:t>
      </w:r>
      <w:r w:rsidRPr="00CF1F0C">
        <w:rPr>
          <w:rFonts w:ascii="Times New Roman" w:hAnsi="Times New Roman" w:cs="Times New Roman"/>
          <w:iCs/>
          <w:sz w:val="20"/>
          <w:szCs w:val="20"/>
          <w:lang w:val="en-US"/>
        </w:rPr>
        <w:t xml:space="preserve">Journal of Law, Economics and Organization </w:t>
      </w:r>
      <w:r w:rsidRPr="00CF1F0C">
        <w:rPr>
          <w:rFonts w:ascii="Times New Roman" w:hAnsi="Times New Roman" w:cs="Times New Roman"/>
          <w:sz w:val="20"/>
          <w:szCs w:val="20"/>
          <w:lang w:val="en-US"/>
        </w:rPr>
        <w:t>15 (1)</w:t>
      </w:r>
      <w:r w:rsidR="007D400E" w:rsidRPr="00CF1F0C">
        <w:rPr>
          <w:rFonts w:ascii="Times New Roman" w:hAnsi="Times New Roman" w:cs="Times New Roman"/>
          <w:sz w:val="20"/>
          <w:szCs w:val="20"/>
          <w:lang w:val="en-US"/>
        </w:rPr>
        <w:t>:</w:t>
      </w:r>
      <w:r w:rsidRPr="00CF1F0C">
        <w:rPr>
          <w:rFonts w:ascii="Times New Roman" w:hAnsi="Times New Roman" w:cs="Times New Roman"/>
          <w:sz w:val="20"/>
          <w:szCs w:val="20"/>
          <w:lang w:val="en-US"/>
        </w:rPr>
        <w:t xml:space="preserve"> 222-279.</w:t>
      </w:r>
    </w:p>
    <w:p w:rsidR="00C873B8" w:rsidRPr="00CF1F0C" w:rsidRDefault="00C873B8"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Mauro,</w:t>
      </w:r>
      <w:r w:rsidR="009279EB" w:rsidRPr="00CF1F0C">
        <w:rPr>
          <w:rFonts w:ascii="Times New Roman" w:hAnsi="Times New Roman" w:cs="Times New Roman"/>
          <w:sz w:val="20"/>
          <w:szCs w:val="20"/>
          <w:lang w:val="en-US"/>
        </w:rPr>
        <w:t xml:space="preserve"> Paolo. "Corruption and growth. 1995.</w:t>
      </w:r>
      <w:r w:rsidRPr="00CF1F0C">
        <w:rPr>
          <w:rFonts w:ascii="Times New Roman" w:hAnsi="Times New Roman" w:cs="Times New Roman"/>
          <w:sz w:val="20"/>
          <w:szCs w:val="20"/>
          <w:lang w:val="en-US"/>
        </w:rPr>
        <w:t xml:space="preserve"> The quart</w:t>
      </w:r>
      <w:r w:rsidR="009279EB" w:rsidRPr="00CF1F0C">
        <w:rPr>
          <w:rFonts w:ascii="Times New Roman" w:hAnsi="Times New Roman" w:cs="Times New Roman"/>
          <w:sz w:val="20"/>
          <w:szCs w:val="20"/>
          <w:lang w:val="en-US"/>
        </w:rPr>
        <w:t>erly journal of economics 110 (3</w:t>
      </w:r>
      <w:r w:rsidRPr="00CF1F0C">
        <w:rPr>
          <w:rFonts w:ascii="Times New Roman" w:hAnsi="Times New Roman" w:cs="Times New Roman"/>
          <w:sz w:val="20"/>
          <w:szCs w:val="20"/>
          <w:lang w:val="en-US"/>
        </w:rPr>
        <w:t>): 681-712.</w:t>
      </w:r>
    </w:p>
    <w:p w:rsidR="00180A90" w:rsidRPr="00CF1F0C" w:rsidRDefault="00180A90"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Montinola, Gabriella R., Jackman R., 2002. Sources of Corruption: A Cross-Country Study. </w:t>
      </w:r>
      <w:r w:rsidRPr="00CF1F0C">
        <w:rPr>
          <w:rFonts w:ascii="Times New Roman" w:hAnsi="Times New Roman" w:cs="Times New Roman"/>
          <w:iCs/>
          <w:sz w:val="20"/>
          <w:szCs w:val="20"/>
          <w:lang w:val="en-US"/>
        </w:rPr>
        <w:t xml:space="preserve">British Journal of Political Science </w:t>
      </w:r>
      <w:r w:rsidRPr="00CF1F0C">
        <w:rPr>
          <w:rFonts w:ascii="Times New Roman" w:hAnsi="Times New Roman" w:cs="Times New Roman"/>
          <w:sz w:val="20"/>
          <w:szCs w:val="20"/>
          <w:lang w:val="en-US"/>
        </w:rPr>
        <w:t>32: 147–170.</w:t>
      </w:r>
    </w:p>
    <w:p w:rsidR="00B64733" w:rsidRPr="00CF1F0C" w:rsidRDefault="00B64733"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Corruption, Development and the Environment. Springer Netherlands. 29-51.</w:t>
      </w:r>
    </w:p>
    <w:p w:rsidR="00180A90" w:rsidRPr="00CF1F0C" w:rsidRDefault="00180A90" w:rsidP="00180A90">
      <w:pPr>
        <w:autoSpaceDE w:val="0"/>
        <w:autoSpaceDN w:val="0"/>
        <w:adjustRightInd w:val="0"/>
        <w:spacing w:line="360" w:lineRule="auto"/>
        <w:ind w:left="0" w:firstLine="0"/>
        <w:rPr>
          <w:rFonts w:ascii="Times New Roman" w:hAnsi="Times New Roman" w:cs="Times New Roman"/>
          <w:color w:val="131413"/>
          <w:sz w:val="20"/>
          <w:szCs w:val="20"/>
          <w:lang w:val="en-US"/>
        </w:rPr>
      </w:pPr>
      <w:r w:rsidRPr="00CF1F0C">
        <w:rPr>
          <w:rFonts w:ascii="Times New Roman" w:hAnsi="Times New Roman" w:cs="Times New Roman"/>
          <w:sz w:val="20"/>
          <w:szCs w:val="20"/>
          <w:lang w:val="en-US"/>
        </w:rPr>
        <w:t xml:space="preserve">Pellegrini, L. R. Gerlagh. 2008. Causes of corruption: a survey of cross-country analyses and extended results. </w:t>
      </w:r>
      <w:r w:rsidRPr="00CF1F0C">
        <w:rPr>
          <w:rFonts w:ascii="Times New Roman" w:hAnsi="Times New Roman" w:cs="Times New Roman"/>
          <w:iCs/>
          <w:sz w:val="20"/>
          <w:szCs w:val="20"/>
          <w:lang w:val="en-US"/>
        </w:rPr>
        <w:t xml:space="preserve">Economics of Governance </w:t>
      </w:r>
      <w:r w:rsidRPr="00CF1F0C">
        <w:rPr>
          <w:rFonts w:ascii="Times New Roman" w:hAnsi="Times New Roman" w:cs="Times New Roman"/>
          <w:color w:val="131413"/>
          <w:sz w:val="20"/>
          <w:szCs w:val="20"/>
          <w:lang w:val="en-US"/>
        </w:rPr>
        <w:t xml:space="preserve"> 9, 245–263</w:t>
      </w:r>
      <w:r w:rsidR="00B85041" w:rsidRPr="00CF1F0C">
        <w:rPr>
          <w:rFonts w:ascii="Times New Roman" w:hAnsi="Times New Roman" w:cs="Times New Roman"/>
          <w:color w:val="131413"/>
          <w:sz w:val="20"/>
          <w:szCs w:val="20"/>
          <w:lang w:val="en-US"/>
        </w:rPr>
        <w:t>.</w:t>
      </w:r>
    </w:p>
    <w:p w:rsidR="00B85041" w:rsidRPr="00CF1F0C" w:rsidRDefault="00B85041"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Rodrik, Dani, Arvind Subramanian, and Francesco Trebbi. 2004. Institutions rule: the primacy of institutions over geography and integration in economic development." Journal of economic growth 9(2): 131-165.</w:t>
      </w:r>
    </w:p>
    <w:p w:rsidR="00180A90" w:rsidRPr="00CF1F0C" w:rsidRDefault="00180A90" w:rsidP="00180A90">
      <w:pPr>
        <w:autoSpaceDE w:val="0"/>
        <w:autoSpaceDN w:val="0"/>
        <w:adjustRightInd w:val="0"/>
        <w:spacing w:line="360" w:lineRule="auto"/>
        <w:ind w:left="0" w:firstLine="0"/>
        <w:rPr>
          <w:rFonts w:ascii="Times New Roman" w:hAnsi="Times New Roman" w:cs="Times New Roman"/>
          <w:color w:val="000000"/>
          <w:sz w:val="20"/>
          <w:szCs w:val="20"/>
          <w:lang w:val="en-US"/>
        </w:rPr>
      </w:pPr>
      <w:r w:rsidRPr="00CF1F0C">
        <w:rPr>
          <w:rFonts w:ascii="Times New Roman" w:hAnsi="Times New Roman" w:cs="Times New Roman"/>
          <w:color w:val="141314"/>
          <w:sz w:val="20"/>
          <w:szCs w:val="20"/>
          <w:lang w:val="en-US"/>
        </w:rPr>
        <w:t>Rodrik D, Subramanian A, Trebbi F. 2004. Institutions rule: the primacy of institutions over geography and integration in economic development</w:t>
      </w:r>
      <w:r w:rsidRPr="00CF1F0C">
        <w:rPr>
          <w:rFonts w:ascii="Times New Roman" w:hAnsi="Times New Roman" w:cs="Times New Roman"/>
          <w:iCs/>
          <w:color w:val="141314"/>
          <w:sz w:val="20"/>
          <w:szCs w:val="20"/>
          <w:lang w:val="en-US"/>
        </w:rPr>
        <w:t xml:space="preserve">. Journal of Economic Growth </w:t>
      </w:r>
      <w:r w:rsidRPr="00CF1F0C">
        <w:rPr>
          <w:rFonts w:ascii="Times New Roman" w:hAnsi="Times New Roman" w:cs="Times New Roman"/>
          <w:color w:val="141314"/>
          <w:sz w:val="20"/>
          <w:szCs w:val="20"/>
          <w:lang w:val="en-US"/>
        </w:rPr>
        <w:t>9(2):131–165</w:t>
      </w:r>
      <w:r w:rsidRPr="00CF1F0C">
        <w:rPr>
          <w:rFonts w:ascii="Times New Roman" w:hAnsi="Times New Roman" w:cs="Times New Roman"/>
          <w:color w:val="000000"/>
          <w:sz w:val="20"/>
          <w:szCs w:val="20"/>
          <w:lang w:val="en-US"/>
        </w:rPr>
        <w:t xml:space="preserve"> </w:t>
      </w:r>
    </w:p>
    <w:p w:rsidR="00180A90" w:rsidRPr="00CF1F0C" w:rsidRDefault="00180A90"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Rothstein, Bo and Teorell, Jan. 2008. What Is Quality of Government? A Theory of Impartial Government Institutions. </w:t>
      </w:r>
      <w:r w:rsidRPr="00CF1F0C">
        <w:rPr>
          <w:rFonts w:ascii="Times New Roman" w:hAnsi="Times New Roman" w:cs="Times New Roman"/>
          <w:iCs/>
          <w:sz w:val="20"/>
          <w:szCs w:val="20"/>
          <w:lang w:val="en-US"/>
        </w:rPr>
        <w:t xml:space="preserve">Governance: An International Journal of Policy, Administration and Institutions </w:t>
      </w:r>
      <w:r w:rsidRPr="00CF1F0C">
        <w:rPr>
          <w:rFonts w:ascii="Times New Roman" w:hAnsi="Times New Roman" w:cs="Times New Roman"/>
          <w:sz w:val="20"/>
          <w:szCs w:val="20"/>
          <w:lang w:val="en-US"/>
        </w:rPr>
        <w:t>21(2):165-190</w:t>
      </w:r>
    </w:p>
    <w:p w:rsidR="00180A90" w:rsidRPr="00CF1F0C" w:rsidRDefault="00180A90" w:rsidP="00B37175">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 xml:space="preserve">Teorell, Jan, Sören Holmberg &amp; Bo Rothstein. 2008. The Quality of Government Dataset, Göteborg University: </w:t>
      </w:r>
      <w:r w:rsidRPr="00CF1F0C">
        <w:rPr>
          <w:rFonts w:ascii="Times New Roman" w:hAnsi="Times New Roman" w:cs="Times New Roman"/>
          <w:iCs/>
          <w:sz w:val="20"/>
          <w:szCs w:val="20"/>
          <w:lang w:val="en-US"/>
        </w:rPr>
        <w:t>The Quality of Government Institute</w:t>
      </w:r>
      <w:r w:rsidRPr="00CF1F0C">
        <w:rPr>
          <w:rFonts w:ascii="Times New Roman" w:hAnsi="Times New Roman" w:cs="Times New Roman"/>
          <w:sz w:val="20"/>
          <w:szCs w:val="20"/>
          <w:lang w:val="en-US"/>
        </w:rPr>
        <w:t>, http://www.qog.pol.gu.se</w:t>
      </w:r>
    </w:p>
    <w:p w:rsidR="00B85041" w:rsidRPr="00CF1F0C" w:rsidRDefault="00B85041"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Van de Walle, Steven. 2006. The state of the world's bureaucracies.  Journal of Comparative Policy Analysis 8(4): 437-448.</w:t>
      </w:r>
    </w:p>
    <w:p w:rsidR="00112876" w:rsidRPr="00CF1F0C" w:rsidRDefault="00112876" w:rsidP="00180A90">
      <w:pPr>
        <w:autoSpaceDE w:val="0"/>
        <w:autoSpaceDN w:val="0"/>
        <w:adjustRightInd w:val="0"/>
        <w:spacing w:line="360" w:lineRule="auto"/>
        <w:ind w:left="0" w:firstLine="0"/>
        <w:rPr>
          <w:rFonts w:ascii="Times New Roman" w:hAnsi="Times New Roman" w:cs="Times New Roman"/>
          <w:sz w:val="20"/>
          <w:szCs w:val="20"/>
          <w:lang w:val="en-US"/>
        </w:rPr>
      </w:pPr>
      <w:r w:rsidRPr="00CF1F0C">
        <w:rPr>
          <w:rFonts w:ascii="Times New Roman" w:hAnsi="Times New Roman" w:cs="Times New Roman"/>
          <w:sz w:val="20"/>
          <w:szCs w:val="20"/>
          <w:lang w:val="en-US"/>
        </w:rPr>
        <w:t>Waterman, R</w:t>
      </w:r>
      <w:r w:rsidR="00B85041" w:rsidRPr="00CF1F0C">
        <w:rPr>
          <w:rFonts w:ascii="Times New Roman" w:hAnsi="Times New Roman" w:cs="Times New Roman"/>
          <w:sz w:val="20"/>
          <w:szCs w:val="20"/>
          <w:lang w:val="en-US"/>
        </w:rPr>
        <w:t>ichard</w:t>
      </w:r>
      <w:r w:rsidRPr="00CF1F0C">
        <w:rPr>
          <w:rFonts w:ascii="Times New Roman" w:hAnsi="Times New Roman" w:cs="Times New Roman"/>
          <w:sz w:val="20"/>
          <w:szCs w:val="20"/>
          <w:lang w:val="en-US"/>
        </w:rPr>
        <w:t xml:space="preserve"> W., &amp; Meier, K</w:t>
      </w:r>
      <w:r w:rsidR="00B85041" w:rsidRPr="00CF1F0C">
        <w:rPr>
          <w:rFonts w:ascii="Times New Roman" w:hAnsi="Times New Roman" w:cs="Times New Roman"/>
          <w:sz w:val="20"/>
          <w:szCs w:val="20"/>
          <w:lang w:val="en-US"/>
        </w:rPr>
        <w:t>enneth</w:t>
      </w:r>
      <w:r w:rsidRPr="00CF1F0C">
        <w:rPr>
          <w:rFonts w:ascii="Times New Roman" w:hAnsi="Times New Roman" w:cs="Times New Roman"/>
          <w:sz w:val="20"/>
          <w:szCs w:val="20"/>
          <w:lang w:val="en-US"/>
        </w:rPr>
        <w:t xml:space="preserve"> J. 1998. Principal-agent models: an expansion? Journal of public administration research and theory, 8(2)</w:t>
      </w:r>
      <w:r w:rsidR="00B85041" w:rsidRPr="00CF1F0C">
        <w:rPr>
          <w:rFonts w:ascii="Times New Roman" w:hAnsi="Times New Roman" w:cs="Times New Roman"/>
          <w:sz w:val="20"/>
          <w:szCs w:val="20"/>
          <w:lang w:val="en-US"/>
        </w:rPr>
        <w:t>:</w:t>
      </w:r>
      <w:r w:rsidRPr="00CF1F0C">
        <w:rPr>
          <w:rFonts w:ascii="Times New Roman" w:hAnsi="Times New Roman" w:cs="Times New Roman"/>
          <w:sz w:val="20"/>
          <w:szCs w:val="20"/>
          <w:lang w:val="en-US"/>
        </w:rPr>
        <w:t xml:space="preserve"> 173-202.</w:t>
      </w:r>
    </w:p>
    <w:p w:rsidR="00CF1F0C" w:rsidRPr="00CF1F0C" w:rsidRDefault="00CF1F0C">
      <w:pPr>
        <w:autoSpaceDE w:val="0"/>
        <w:autoSpaceDN w:val="0"/>
        <w:adjustRightInd w:val="0"/>
        <w:spacing w:line="360" w:lineRule="auto"/>
        <w:ind w:left="0" w:firstLine="0"/>
        <w:rPr>
          <w:rFonts w:ascii="Times New Roman" w:hAnsi="Times New Roman" w:cs="Times New Roman"/>
          <w:sz w:val="20"/>
          <w:szCs w:val="20"/>
          <w:lang w:val="en-US"/>
        </w:rPr>
      </w:pPr>
    </w:p>
    <w:sectPr w:rsidR="00CF1F0C" w:rsidRPr="00CF1F0C" w:rsidSect="00020A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C88" w:rsidRDefault="00BB7C88" w:rsidP="0072519C">
      <w:r>
        <w:separator/>
      </w:r>
    </w:p>
  </w:endnote>
  <w:endnote w:type="continuationSeparator" w:id="1">
    <w:p w:rsidR="00BB7C88" w:rsidRDefault="00BB7C88" w:rsidP="00725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MILJKC+TimesNewRoman,Bold">
    <w:altName w:val="Times New Roman"/>
    <w:panose1 w:val="00000000000000000000"/>
    <w:charset w:val="00"/>
    <w:family w:val="roman"/>
    <w:notTrueType/>
    <w:pitch w:val="default"/>
    <w:sig w:usb0="00000003" w:usb1="00000000" w:usb2="00000000" w:usb3="00000000" w:csb0="00000001" w:csb1="00000000"/>
  </w:font>
  <w:font w:name="MILJCD+TimesNewRoman">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C88" w:rsidRDefault="00BB7C88" w:rsidP="0072519C">
      <w:r>
        <w:separator/>
      </w:r>
    </w:p>
  </w:footnote>
  <w:footnote w:type="continuationSeparator" w:id="1">
    <w:p w:rsidR="00BB7C88" w:rsidRDefault="00BB7C88" w:rsidP="0072519C">
      <w:r>
        <w:continuationSeparator/>
      </w:r>
    </w:p>
  </w:footnote>
  <w:footnote w:id="2">
    <w:p w:rsidR="003A3CDC" w:rsidRPr="006233EC" w:rsidRDefault="003A3CDC">
      <w:pPr>
        <w:pStyle w:val="Tekstprzypisudolnego"/>
        <w:rPr>
          <w:lang w:val="en-US"/>
        </w:rPr>
      </w:pPr>
      <w:r>
        <w:rPr>
          <w:rStyle w:val="Odwoanieprzypisudolnego"/>
        </w:rPr>
        <w:footnoteRef/>
      </w:r>
      <w:r w:rsidRPr="006233EC">
        <w:rPr>
          <w:lang w:val="en-US"/>
        </w:rPr>
        <w:t xml:space="preserve"> </w:t>
      </w:r>
      <w:r w:rsidRPr="000102F5">
        <w:rPr>
          <w:rFonts w:ascii="Times New Roman" w:hAnsi="Times New Roman" w:cs="Times New Roman"/>
          <w:lang w:val="en-US"/>
        </w:rPr>
        <w:t>Dow</w:t>
      </w:r>
      <w:r>
        <w:rPr>
          <w:rFonts w:ascii="Times New Roman" w:hAnsi="Times New Roman" w:cs="Times New Roman"/>
          <w:lang w:val="en-US"/>
        </w:rPr>
        <w:t>nloaded from www.qog.pol.gu.se</w:t>
      </w:r>
      <w:r w:rsidRPr="000102F5">
        <w:rPr>
          <w:rFonts w:ascii="Times New Roman" w:hAnsi="Times New Roman" w:cs="Times New Roman"/>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632"/>
    <w:multiLevelType w:val="hybridMultilevel"/>
    <w:tmpl w:val="6C322ACC"/>
    <w:lvl w:ilvl="0" w:tplc="65A870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nsid w:val="24254934"/>
    <w:multiLevelType w:val="hybridMultilevel"/>
    <w:tmpl w:val="6C322ACC"/>
    <w:lvl w:ilvl="0" w:tplc="65A870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3B8F202B"/>
    <w:multiLevelType w:val="hybridMultilevel"/>
    <w:tmpl w:val="1F3EDB04"/>
    <w:lvl w:ilvl="0" w:tplc="3D100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2229B6"/>
    <w:multiLevelType w:val="hybridMultilevel"/>
    <w:tmpl w:val="6C322ACC"/>
    <w:lvl w:ilvl="0" w:tplc="65A870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41040670"/>
    <w:multiLevelType w:val="hybridMultilevel"/>
    <w:tmpl w:val="6C322ACC"/>
    <w:lvl w:ilvl="0" w:tplc="65A870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nsid w:val="575F151C"/>
    <w:multiLevelType w:val="hybridMultilevel"/>
    <w:tmpl w:val="B48CE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7A0FF0"/>
    <w:multiLevelType w:val="hybridMultilevel"/>
    <w:tmpl w:val="5C84A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hyphenationZone w:val="425"/>
  <w:characterSpacingControl w:val="doNotCompress"/>
  <w:footnotePr>
    <w:footnote w:id="0"/>
    <w:footnote w:id="1"/>
  </w:footnotePr>
  <w:endnotePr>
    <w:endnote w:id="0"/>
    <w:endnote w:id="1"/>
  </w:endnotePr>
  <w:compat/>
  <w:rsids>
    <w:rsidRoot w:val="00FB371D"/>
    <w:rsid w:val="0000523D"/>
    <w:rsid w:val="00006156"/>
    <w:rsid w:val="000102F5"/>
    <w:rsid w:val="00020A80"/>
    <w:rsid w:val="000546C8"/>
    <w:rsid w:val="00054EE7"/>
    <w:rsid w:val="00057495"/>
    <w:rsid w:val="00066F7A"/>
    <w:rsid w:val="000718DD"/>
    <w:rsid w:val="000A018A"/>
    <w:rsid w:val="000C3572"/>
    <w:rsid w:val="000D50ED"/>
    <w:rsid w:val="000D6610"/>
    <w:rsid w:val="001039AD"/>
    <w:rsid w:val="00112876"/>
    <w:rsid w:val="0012051D"/>
    <w:rsid w:val="001220C7"/>
    <w:rsid w:val="00160AEA"/>
    <w:rsid w:val="00170951"/>
    <w:rsid w:val="00171F3B"/>
    <w:rsid w:val="001727F7"/>
    <w:rsid w:val="00172BBD"/>
    <w:rsid w:val="00180A90"/>
    <w:rsid w:val="00181C97"/>
    <w:rsid w:val="001B20D1"/>
    <w:rsid w:val="001E6C2F"/>
    <w:rsid w:val="002000EF"/>
    <w:rsid w:val="00200875"/>
    <w:rsid w:val="002130EB"/>
    <w:rsid w:val="00222B00"/>
    <w:rsid w:val="00224502"/>
    <w:rsid w:val="00232B8D"/>
    <w:rsid w:val="00236CE8"/>
    <w:rsid w:val="00243D85"/>
    <w:rsid w:val="00253297"/>
    <w:rsid w:val="0026650A"/>
    <w:rsid w:val="00271581"/>
    <w:rsid w:val="002734A9"/>
    <w:rsid w:val="00286B8E"/>
    <w:rsid w:val="002A31C6"/>
    <w:rsid w:val="002D06C7"/>
    <w:rsid w:val="002D37B4"/>
    <w:rsid w:val="002D5F89"/>
    <w:rsid w:val="002F1581"/>
    <w:rsid w:val="003025EE"/>
    <w:rsid w:val="00344772"/>
    <w:rsid w:val="0035374D"/>
    <w:rsid w:val="0036014C"/>
    <w:rsid w:val="00363C94"/>
    <w:rsid w:val="00370D56"/>
    <w:rsid w:val="0037509E"/>
    <w:rsid w:val="0038338F"/>
    <w:rsid w:val="00395CC0"/>
    <w:rsid w:val="003A3CDC"/>
    <w:rsid w:val="003A6280"/>
    <w:rsid w:val="003B398B"/>
    <w:rsid w:val="003D0E76"/>
    <w:rsid w:val="003F1660"/>
    <w:rsid w:val="003F5A4A"/>
    <w:rsid w:val="00407D54"/>
    <w:rsid w:val="00413779"/>
    <w:rsid w:val="00416F4E"/>
    <w:rsid w:val="00417486"/>
    <w:rsid w:val="00427DE1"/>
    <w:rsid w:val="00446ED6"/>
    <w:rsid w:val="00451FE4"/>
    <w:rsid w:val="004577A6"/>
    <w:rsid w:val="00460B78"/>
    <w:rsid w:val="00461B4A"/>
    <w:rsid w:val="0046292E"/>
    <w:rsid w:val="00466053"/>
    <w:rsid w:val="00491B18"/>
    <w:rsid w:val="004D52C6"/>
    <w:rsid w:val="004E0A8C"/>
    <w:rsid w:val="004E5790"/>
    <w:rsid w:val="00502F42"/>
    <w:rsid w:val="005275D1"/>
    <w:rsid w:val="00534D29"/>
    <w:rsid w:val="00537004"/>
    <w:rsid w:val="005401B4"/>
    <w:rsid w:val="00542040"/>
    <w:rsid w:val="00544370"/>
    <w:rsid w:val="0056097C"/>
    <w:rsid w:val="00565871"/>
    <w:rsid w:val="005717AA"/>
    <w:rsid w:val="005B1EE1"/>
    <w:rsid w:val="005C06A4"/>
    <w:rsid w:val="005F2A84"/>
    <w:rsid w:val="005F4954"/>
    <w:rsid w:val="006023F5"/>
    <w:rsid w:val="006233EC"/>
    <w:rsid w:val="00626CA4"/>
    <w:rsid w:val="00656076"/>
    <w:rsid w:val="00656877"/>
    <w:rsid w:val="006723B0"/>
    <w:rsid w:val="00696350"/>
    <w:rsid w:val="006A7AC5"/>
    <w:rsid w:val="006C6183"/>
    <w:rsid w:val="006F64A5"/>
    <w:rsid w:val="00702B44"/>
    <w:rsid w:val="0070398F"/>
    <w:rsid w:val="0072519C"/>
    <w:rsid w:val="0074447E"/>
    <w:rsid w:val="00754897"/>
    <w:rsid w:val="007607F3"/>
    <w:rsid w:val="00770643"/>
    <w:rsid w:val="0077138D"/>
    <w:rsid w:val="00771CE6"/>
    <w:rsid w:val="007738DD"/>
    <w:rsid w:val="007746E5"/>
    <w:rsid w:val="00777341"/>
    <w:rsid w:val="007A31D9"/>
    <w:rsid w:val="007B2A71"/>
    <w:rsid w:val="007B30BB"/>
    <w:rsid w:val="007C117B"/>
    <w:rsid w:val="007C2AD4"/>
    <w:rsid w:val="007D21ED"/>
    <w:rsid w:val="007D400E"/>
    <w:rsid w:val="007E0DB9"/>
    <w:rsid w:val="00813BF5"/>
    <w:rsid w:val="00841385"/>
    <w:rsid w:val="00843C57"/>
    <w:rsid w:val="008447FE"/>
    <w:rsid w:val="008453C9"/>
    <w:rsid w:val="008559D5"/>
    <w:rsid w:val="0085606D"/>
    <w:rsid w:val="008661BC"/>
    <w:rsid w:val="00871AB9"/>
    <w:rsid w:val="008764B5"/>
    <w:rsid w:val="008851AE"/>
    <w:rsid w:val="008A76B4"/>
    <w:rsid w:val="008B6801"/>
    <w:rsid w:val="008F04A5"/>
    <w:rsid w:val="008F1735"/>
    <w:rsid w:val="008F5303"/>
    <w:rsid w:val="008F710F"/>
    <w:rsid w:val="009053C8"/>
    <w:rsid w:val="00912916"/>
    <w:rsid w:val="00914467"/>
    <w:rsid w:val="0092097B"/>
    <w:rsid w:val="009279EB"/>
    <w:rsid w:val="00936D4C"/>
    <w:rsid w:val="009404D5"/>
    <w:rsid w:val="009437EE"/>
    <w:rsid w:val="00954358"/>
    <w:rsid w:val="00960FE6"/>
    <w:rsid w:val="00980820"/>
    <w:rsid w:val="00982331"/>
    <w:rsid w:val="00985A75"/>
    <w:rsid w:val="009C064C"/>
    <w:rsid w:val="009E0BED"/>
    <w:rsid w:val="009E4E4B"/>
    <w:rsid w:val="009E7366"/>
    <w:rsid w:val="009F1B8E"/>
    <w:rsid w:val="009F6FA4"/>
    <w:rsid w:val="009F7B98"/>
    <w:rsid w:val="00A015E1"/>
    <w:rsid w:val="00A2159B"/>
    <w:rsid w:val="00A24E8F"/>
    <w:rsid w:val="00A3342C"/>
    <w:rsid w:val="00A46AE8"/>
    <w:rsid w:val="00A608BE"/>
    <w:rsid w:val="00A6694A"/>
    <w:rsid w:val="00A80E3A"/>
    <w:rsid w:val="00A8366D"/>
    <w:rsid w:val="00A87004"/>
    <w:rsid w:val="00AC0A9E"/>
    <w:rsid w:val="00AC19AF"/>
    <w:rsid w:val="00AD12DB"/>
    <w:rsid w:val="00AD39F1"/>
    <w:rsid w:val="00AE286A"/>
    <w:rsid w:val="00AE5493"/>
    <w:rsid w:val="00B03810"/>
    <w:rsid w:val="00B039B3"/>
    <w:rsid w:val="00B05FF7"/>
    <w:rsid w:val="00B322CA"/>
    <w:rsid w:val="00B37175"/>
    <w:rsid w:val="00B43970"/>
    <w:rsid w:val="00B64733"/>
    <w:rsid w:val="00B72C02"/>
    <w:rsid w:val="00B85041"/>
    <w:rsid w:val="00BB7C88"/>
    <w:rsid w:val="00BC6396"/>
    <w:rsid w:val="00BC6EDB"/>
    <w:rsid w:val="00BD42DD"/>
    <w:rsid w:val="00BE30DF"/>
    <w:rsid w:val="00C20B62"/>
    <w:rsid w:val="00C23FAB"/>
    <w:rsid w:val="00C326D2"/>
    <w:rsid w:val="00C4240E"/>
    <w:rsid w:val="00C47808"/>
    <w:rsid w:val="00C50713"/>
    <w:rsid w:val="00C52D15"/>
    <w:rsid w:val="00C53CD7"/>
    <w:rsid w:val="00C7337B"/>
    <w:rsid w:val="00C873B8"/>
    <w:rsid w:val="00C93092"/>
    <w:rsid w:val="00C95D2C"/>
    <w:rsid w:val="00C95DE9"/>
    <w:rsid w:val="00C97D47"/>
    <w:rsid w:val="00CA4884"/>
    <w:rsid w:val="00CB2284"/>
    <w:rsid w:val="00CB4366"/>
    <w:rsid w:val="00CC3A8C"/>
    <w:rsid w:val="00CE26E2"/>
    <w:rsid w:val="00CE411C"/>
    <w:rsid w:val="00CF1F0C"/>
    <w:rsid w:val="00CF456A"/>
    <w:rsid w:val="00D361C0"/>
    <w:rsid w:val="00D42DF2"/>
    <w:rsid w:val="00D52A73"/>
    <w:rsid w:val="00D52D4A"/>
    <w:rsid w:val="00D579D2"/>
    <w:rsid w:val="00D65FB9"/>
    <w:rsid w:val="00D96A9E"/>
    <w:rsid w:val="00DC635A"/>
    <w:rsid w:val="00DD0EF1"/>
    <w:rsid w:val="00DE2F2E"/>
    <w:rsid w:val="00DF2537"/>
    <w:rsid w:val="00E23CFD"/>
    <w:rsid w:val="00E328FA"/>
    <w:rsid w:val="00E33BE9"/>
    <w:rsid w:val="00E344FD"/>
    <w:rsid w:val="00E413A2"/>
    <w:rsid w:val="00E503CA"/>
    <w:rsid w:val="00E55970"/>
    <w:rsid w:val="00E55C66"/>
    <w:rsid w:val="00E64763"/>
    <w:rsid w:val="00E6543D"/>
    <w:rsid w:val="00EA6000"/>
    <w:rsid w:val="00EC3789"/>
    <w:rsid w:val="00ED72A3"/>
    <w:rsid w:val="00F0535A"/>
    <w:rsid w:val="00F07292"/>
    <w:rsid w:val="00F12185"/>
    <w:rsid w:val="00F45DF9"/>
    <w:rsid w:val="00F5221F"/>
    <w:rsid w:val="00F530A1"/>
    <w:rsid w:val="00F727FF"/>
    <w:rsid w:val="00F74976"/>
    <w:rsid w:val="00F91530"/>
    <w:rsid w:val="00FB371D"/>
    <w:rsid w:val="00FB52EB"/>
    <w:rsid w:val="00FD4B48"/>
    <w:rsid w:val="00FF3ECE"/>
    <w:rsid w:val="00FF47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71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18DD"/>
    <w:pPr>
      <w:autoSpaceDE w:val="0"/>
      <w:autoSpaceDN w:val="0"/>
      <w:adjustRightInd w:val="0"/>
      <w:ind w:left="0" w:firstLine="0"/>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72519C"/>
    <w:rPr>
      <w:sz w:val="20"/>
      <w:szCs w:val="20"/>
    </w:rPr>
  </w:style>
  <w:style w:type="character" w:customStyle="1" w:styleId="TekstprzypisudolnegoZnak">
    <w:name w:val="Tekst przypisu dolnego Znak"/>
    <w:basedOn w:val="Domylnaczcionkaakapitu"/>
    <w:link w:val="Tekstprzypisudolnego"/>
    <w:uiPriority w:val="99"/>
    <w:semiHidden/>
    <w:rsid w:val="0072519C"/>
    <w:rPr>
      <w:sz w:val="20"/>
      <w:szCs w:val="20"/>
    </w:rPr>
  </w:style>
  <w:style w:type="character" w:styleId="Odwoanieprzypisudolnego">
    <w:name w:val="footnote reference"/>
    <w:basedOn w:val="Domylnaczcionkaakapitu"/>
    <w:uiPriority w:val="99"/>
    <w:semiHidden/>
    <w:unhideWhenUsed/>
    <w:rsid w:val="0072519C"/>
    <w:rPr>
      <w:vertAlign w:val="superscript"/>
    </w:rPr>
  </w:style>
  <w:style w:type="paragraph" w:customStyle="1" w:styleId="Kop2">
    <w:name w:val="Kop 2"/>
    <w:basedOn w:val="Default"/>
    <w:next w:val="Default"/>
    <w:uiPriority w:val="99"/>
    <w:rsid w:val="008A76B4"/>
    <w:rPr>
      <w:rFonts w:ascii="MILJKC+TimesNewRoman,Bold" w:hAnsi="MILJKC+TimesNewRoman,Bold" w:cstheme="minorBidi"/>
      <w:color w:val="auto"/>
    </w:rPr>
  </w:style>
  <w:style w:type="paragraph" w:customStyle="1" w:styleId="Standaard">
    <w:name w:val="Standaard"/>
    <w:basedOn w:val="Default"/>
    <w:next w:val="Default"/>
    <w:uiPriority w:val="99"/>
    <w:rsid w:val="00980820"/>
    <w:rPr>
      <w:rFonts w:ascii="MILJCD+TimesNewRoman" w:hAnsi="MILJCD+TimesNewRoman" w:cstheme="minorBidi"/>
      <w:color w:val="auto"/>
    </w:rPr>
  </w:style>
  <w:style w:type="paragraph" w:styleId="Akapitzlist">
    <w:name w:val="List Paragraph"/>
    <w:basedOn w:val="Normalny"/>
    <w:uiPriority w:val="34"/>
    <w:qFormat/>
    <w:rsid w:val="002D5F89"/>
    <w:pPr>
      <w:ind w:left="720"/>
      <w:contextualSpacing/>
    </w:pPr>
  </w:style>
</w:styles>
</file>

<file path=word/webSettings.xml><?xml version="1.0" encoding="utf-8"?>
<w:webSettings xmlns:r="http://schemas.openxmlformats.org/officeDocument/2006/relationships" xmlns:w="http://schemas.openxmlformats.org/wordprocessingml/2006/main">
  <w:divs>
    <w:div w:id="16280141">
      <w:bodyDiv w:val="1"/>
      <w:marLeft w:val="0"/>
      <w:marRight w:val="0"/>
      <w:marTop w:val="0"/>
      <w:marBottom w:val="0"/>
      <w:divBdr>
        <w:top w:val="none" w:sz="0" w:space="0" w:color="auto"/>
        <w:left w:val="none" w:sz="0" w:space="0" w:color="auto"/>
        <w:bottom w:val="none" w:sz="0" w:space="0" w:color="auto"/>
        <w:right w:val="none" w:sz="0" w:space="0" w:color="auto"/>
      </w:divBdr>
    </w:div>
    <w:div w:id="666590971">
      <w:bodyDiv w:val="1"/>
      <w:marLeft w:val="0"/>
      <w:marRight w:val="0"/>
      <w:marTop w:val="0"/>
      <w:marBottom w:val="0"/>
      <w:divBdr>
        <w:top w:val="none" w:sz="0" w:space="0" w:color="auto"/>
        <w:left w:val="none" w:sz="0" w:space="0" w:color="auto"/>
        <w:bottom w:val="none" w:sz="0" w:space="0" w:color="auto"/>
        <w:right w:val="none" w:sz="0" w:space="0" w:color="auto"/>
      </w:divBdr>
    </w:div>
    <w:div w:id="1050613351">
      <w:bodyDiv w:val="1"/>
      <w:marLeft w:val="0"/>
      <w:marRight w:val="0"/>
      <w:marTop w:val="0"/>
      <w:marBottom w:val="0"/>
      <w:divBdr>
        <w:top w:val="none" w:sz="0" w:space="0" w:color="auto"/>
        <w:left w:val="none" w:sz="0" w:space="0" w:color="auto"/>
        <w:bottom w:val="none" w:sz="0" w:space="0" w:color="auto"/>
        <w:right w:val="none" w:sz="0" w:space="0" w:color="auto"/>
      </w:divBdr>
    </w:div>
    <w:div w:id="1262450971">
      <w:bodyDiv w:val="1"/>
      <w:marLeft w:val="0"/>
      <w:marRight w:val="0"/>
      <w:marTop w:val="0"/>
      <w:marBottom w:val="0"/>
      <w:divBdr>
        <w:top w:val="none" w:sz="0" w:space="0" w:color="auto"/>
        <w:left w:val="none" w:sz="0" w:space="0" w:color="auto"/>
        <w:bottom w:val="none" w:sz="0" w:space="0" w:color="auto"/>
        <w:right w:val="none" w:sz="0" w:space="0" w:color="auto"/>
      </w:divBdr>
    </w:div>
    <w:div w:id="1371764367">
      <w:bodyDiv w:val="1"/>
      <w:marLeft w:val="0"/>
      <w:marRight w:val="0"/>
      <w:marTop w:val="0"/>
      <w:marBottom w:val="0"/>
      <w:divBdr>
        <w:top w:val="none" w:sz="0" w:space="0" w:color="auto"/>
        <w:left w:val="none" w:sz="0" w:space="0" w:color="auto"/>
        <w:bottom w:val="none" w:sz="0" w:space="0" w:color="auto"/>
        <w:right w:val="none" w:sz="0" w:space="0" w:color="auto"/>
      </w:divBdr>
    </w:div>
    <w:div w:id="1487669029">
      <w:bodyDiv w:val="1"/>
      <w:marLeft w:val="0"/>
      <w:marRight w:val="0"/>
      <w:marTop w:val="0"/>
      <w:marBottom w:val="0"/>
      <w:divBdr>
        <w:top w:val="none" w:sz="0" w:space="0" w:color="auto"/>
        <w:left w:val="none" w:sz="0" w:space="0" w:color="auto"/>
        <w:bottom w:val="none" w:sz="0" w:space="0" w:color="auto"/>
        <w:right w:val="none" w:sz="0" w:space="0" w:color="auto"/>
      </w:divBdr>
    </w:div>
    <w:div w:id="1780952093">
      <w:bodyDiv w:val="1"/>
      <w:marLeft w:val="0"/>
      <w:marRight w:val="0"/>
      <w:marTop w:val="0"/>
      <w:marBottom w:val="0"/>
      <w:divBdr>
        <w:top w:val="none" w:sz="0" w:space="0" w:color="auto"/>
        <w:left w:val="none" w:sz="0" w:space="0" w:color="auto"/>
        <w:bottom w:val="none" w:sz="0" w:space="0" w:color="auto"/>
        <w:right w:val="none" w:sz="0" w:space="0" w:color="auto"/>
      </w:divBdr>
    </w:div>
    <w:div w:id="1856074101">
      <w:bodyDiv w:val="1"/>
      <w:marLeft w:val="0"/>
      <w:marRight w:val="0"/>
      <w:marTop w:val="0"/>
      <w:marBottom w:val="0"/>
      <w:divBdr>
        <w:top w:val="none" w:sz="0" w:space="0" w:color="auto"/>
        <w:left w:val="none" w:sz="0" w:space="0" w:color="auto"/>
        <w:bottom w:val="none" w:sz="0" w:space="0" w:color="auto"/>
        <w:right w:val="none" w:sz="0" w:space="0" w:color="auto"/>
      </w:divBdr>
    </w:div>
    <w:div w:id="2049404837">
      <w:bodyDiv w:val="1"/>
      <w:marLeft w:val="0"/>
      <w:marRight w:val="0"/>
      <w:marTop w:val="0"/>
      <w:marBottom w:val="0"/>
      <w:divBdr>
        <w:top w:val="none" w:sz="0" w:space="0" w:color="auto"/>
        <w:left w:val="none" w:sz="0" w:space="0" w:color="auto"/>
        <w:bottom w:val="none" w:sz="0" w:space="0" w:color="auto"/>
        <w:right w:val="none" w:sz="0" w:space="0" w:color="auto"/>
      </w:divBdr>
    </w:div>
    <w:div w:id="21060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azyna\Desktop\habilitacja\Bazy\wgidatas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azyna\Desktop\habilitacja\Bazy\wgidata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1400218722659673"/>
          <c:y val="2.8252405949256338E-2"/>
          <c:w val="0.88455493182788758"/>
          <c:h val="0.94349518810148769"/>
        </c:manualLayout>
      </c:layout>
      <c:barChart>
        <c:barDir val="col"/>
        <c:grouping val="clustered"/>
        <c:ser>
          <c:idx val="0"/>
          <c:order val="0"/>
          <c:tx>
            <c:strRef>
              <c:f>Arkusz2!$B$1</c:f>
              <c:strCache>
                <c:ptCount val="1"/>
                <c:pt idx="0">
                  <c:v>1996</c:v>
                </c:pt>
              </c:strCache>
            </c:strRef>
          </c:tx>
          <c:cat>
            <c:strRef>
              <c:f>Arkusz2!$A$2:$A$19</c:f>
              <c:strCache>
                <c:ptCount val="18"/>
                <c:pt idx="0">
                  <c:v>UKRAINE</c:v>
                </c:pt>
                <c:pt idx="1">
                  <c:v>MOLDOVA</c:v>
                </c:pt>
                <c:pt idx="2">
                  <c:v>RUSSIAN FEDERATION</c:v>
                </c:pt>
                <c:pt idx="3">
                  <c:v>KAZAKHSTAN</c:v>
                </c:pt>
                <c:pt idx="4">
                  <c:v>ROMANIA</c:v>
                </c:pt>
                <c:pt idx="5">
                  <c:v>ALBANIA</c:v>
                </c:pt>
                <c:pt idx="6">
                  <c:v>SERBIA</c:v>
                </c:pt>
                <c:pt idx="7">
                  <c:v>ARMENIA</c:v>
                </c:pt>
                <c:pt idx="8">
                  <c:v>BULGARIA</c:v>
                </c:pt>
                <c:pt idx="9">
                  <c:v>CROATIA</c:v>
                </c:pt>
                <c:pt idx="10">
                  <c:v>POLAND</c:v>
                </c:pt>
                <c:pt idx="11">
                  <c:v>LITHUANIA</c:v>
                </c:pt>
                <c:pt idx="12">
                  <c:v>LATVIA</c:v>
                </c:pt>
                <c:pt idx="13">
                  <c:v>HUNGARY</c:v>
                </c:pt>
                <c:pt idx="14">
                  <c:v>SLOVAK REPUBLIC</c:v>
                </c:pt>
                <c:pt idx="15">
                  <c:v>SLOVENIA</c:v>
                </c:pt>
                <c:pt idx="16">
                  <c:v>CZECH REPUBLIC</c:v>
                </c:pt>
                <c:pt idx="17">
                  <c:v>ESTONIA</c:v>
                </c:pt>
              </c:strCache>
            </c:strRef>
          </c:cat>
          <c:val>
            <c:numRef>
              <c:f>Arkusz2!$B$2:$B$19</c:f>
              <c:numCache>
                <c:formatCode>0.00</c:formatCode>
                <c:ptCount val="18"/>
                <c:pt idx="0">
                  <c:v>-0.70619929962302253</c:v>
                </c:pt>
                <c:pt idx="1">
                  <c:v>-0.37300484296650532</c:v>
                </c:pt>
                <c:pt idx="2">
                  <c:v>-0.51685605157835335</c:v>
                </c:pt>
                <c:pt idx="3">
                  <c:v>-1.0662491534680301</c:v>
                </c:pt>
                <c:pt idx="4">
                  <c:v>-0.5064770673657023</c:v>
                </c:pt>
                <c:pt idx="5">
                  <c:v>-0.8017021361799036</c:v>
                </c:pt>
                <c:pt idx="6">
                  <c:v>-0.92001227882251058</c:v>
                </c:pt>
                <c:pt idx="7">
                  <c:v>-0.40836579478077434</c:v>
                </c:pt>
                <c:pt idx="8">
                  <c:v>-0.31078547671259182</c:v>
                </c:pt>
                <c:pt idx="9">
                  <c:v>6.8315567800185592E-2</c:v>
                </c:pt>
                <c:pt idx="10">
                  <c:v>0.77880240998231454</c:v>
                </c:pt>
                <c:pt idx="11">
                  <c:v>0.32023946753501908</c:v>
                </c:pt>
                <c:pt idx="12">
                  <c:v>0.1940960831753106</c:v>
                </c:pt>
                <c:pt idx="13">
                  <c:v>0.83692402609802685</c:v>
                </c:pt>
                <c:pt idx="14">
                  <c:v>0.57357456732613832</c:v>
                </c:pt>
                <c:pt idx="15">
                  <c:v>0.8877032626614203</c:v>
                </c:pt>
                <c:pt idx="16">
                  <c:v>0.62014837878889228</c:v>
                </c:pt>
                <c:pt idx="17">
                  <c:v>0.57252623625444043</c:v>
                </c:pt>
              </c:numCache>
            </c:numRef>
          </c:val>
        </c:ser>
        <c:ser>
          <c:idx val="1"/>
          <c:order val="1"/>
          <c:tx>
            <c:strRef>
              <c:f>Arkusz2!$C$1</c:f>
              <c:strCache>
                <c:ptCount val="1"/>
                <c:pt idx="0">
                  <c:v>2011</c:v>
                </c:pt>
              </c:strCache>
            </c:strRef>
          </c:tx>
          <c:cat>
            <c:strRef>
              <c:f>Arkusz2!$A$2:$A$19</c:f>
              <c:strCache>
                <c:ptCount val="18"/>
                <c:pt idx="0">
                  <c:v>UKRAINE</c:v>
                </c:pt>
                <c:pt idx="1">
                  <c:v>MOLDOVA</c:v>
                </c:pt>
                <c:pt idx="2">
                  <c:v>RUSSIAN FEDERATION</c:v>
                </c:pt>
                <c:pt idx="3">
                  <c:v>KAZAKHSTAN</c:v>
                </c:pt>
                <c:pt idx="4">
                  <c:v>ROMANIA</c:v>
                </c:pt>
                <c:pt idx="5">
                  <c:v>ALBANIA</c:v>
                </c:pt>
                <c:pt idx="6">
                  <c:v>SERBIA</c:v>
                </c:pt>
                <c:pt idx="7">
                  <c:v>ARMENIA</c:v>
                </c:pt>
                <c:pt idx="8">
                  <c:v>BULGARIA</c:v>
                </c:pt>
                <c:pt idx="9">
                  <c:v>CROATIA</c:v>
                </c:pt>
                <c:pt idx="10">
                  <c:v>POLAND</c:v>
                </c:pt>
                <c:pt idx="11">
                  <c:v>LITHUANIA</c:v>
                </c:pt>
                <c:pt idx="12">
                  <c:v>LATVIA</c:v>
                </c:pt>
                <c:pt idx="13">
                  <c:v>HUNGARY</c:v>
                </c:pt>
                <c:pt idx="14">
                  <c:v>SLOVAK REPUBLIC</c:v>
                </c:pt>
                <c:pt idx="15">
                  <c:v>SLOVENIA</c:v>
                </c:pt>
                <c:pt idx="16">
                  <c:v>CZECH REPUBLIC</c:v>
                </c:pt>
                <c:pt idx="17">
                  <c:v>ESTONIA</c:v>
                </c:pt>
              </c:strCache>
            </c:strRef>
          </c:cat>
          <c:val>
            <c:numRef>
              <c:f>Arkusz2!$C$2:$C$19</c:f>
              <c:numCache>
                <c:formatCode>0.00</c:formatCode>
                <c:ptCount val="18"/>
                <c:pt idx="0">
                  <c:v>-0.82721574069420667</c:v>
                </c:pt>
                <c:pt idx="1">
                  <c:v>-0.58348951401270466</c:v>
                </c:pt>
                <c:pt idx="2">
                  <c:v>-0.40391322957141884</c:v>
                </c:pt>
                <c:pt idx="3">
                  <c:v>-0.2636995519200549</c:v>
                </c:pt>
                <c:pt idx="4">
                  <c:v>-0.21902193114606186</c:v>
                </c:pt>
                <c:pt idx="5">
                  <c:v>-0.19944310762562378</c:v>
                </c:pt>
                <c:pt idx="6">
                  <c:v>-0.1453197666267424</c:v>
                </c:pt>
                <c:pt idx="7">
                  <c:v>-8.645098108855008E-2</c:v>
                </c:pt>
                <c:pt idx="8">
                  <c:v>9.9113076680191637E-3</c:v>
                </c:pt>
                <c:pt idx="9">
                  <c:v>0.5540002840599737</c:v>
                </c:pt>
                <c:pt idx="10">
                  <c:v>0.67594537260205234</c:v>
                </c:pt>
                <c:pt idx="11">
                  <c:v>0.68134055843364494</c:v>
                </c:pt>
                <c:pt idx="12">
                  <c:v>0.68445045436437668</c:v>
                </c:pt>
                <c:pt idx="13">
                  <c:v>0.70532234313396058</c:v>
                </c:pt>
                <c:pt idx="14">
                  <c:v>0.85623558775155018</c:v>
                </c:pt>
                <c:pt idx="15">
                  <c:v>0.98521639382055937</c:v>
                </c:pt>
                <c:pt idx="16">
                  <c:v>1.0184036505834138</c:v>
                </c:pt>
                <c:pt idx="17">
                  <c:v>1.204335590751854</c:v>
                </c:pt>
              </c:numCache>
            </c:numRef>
          </c:val>
        </c:ser>
        <c:axId val="130088960"/>
        <c:axId val="130090496"/>
      </c:barChart>
      <c:catAx>
        <c:axId val="130088960"/>
        <c:scaling>
          <c:orientation val="minMax"/>
        </c:scaling>
        <c:axPos val="b"/>
        <c:tickLblPos val="nextTo"/>
        <c:txPr>
          <a:bodyPr/>
          <a:lstStyle/>
          <a:p>
            <a:pPr>
              <a:defRPr sz="800"/>
            </a:pPr>
            <a:endParaRPr lang="pl-PL"/>
          </a:p>
        </c:txPr>
        <c:crossAx val="130090496"/>
        <c:crosses val="autoZero"/>
        <c:auto val="1"/>
        <c:lblAlgn val="ctr"/>
        <c:lblOffset val="100"/>
      </c:catAx>
      <c:valAx>
        <c:axId val="130090496"/>
        <c:scaling>
          <c:orientation val="minMax"/>
        </c:scaling>
        <c:axPos val="l"/>
        <c:majorGridlines/>
        <c:numFmt formatCode="0.00" sourceLinked="1"/>
        <c:tickLblPos val="nextTo"/>
        <c:txPr>
          <a:bodyPr/>
          <a:lstStyle/>
          <a:p>
            <a:pPr>
              <a:defRPr sz="800"/>
            </a:pPr>
            <a:endParaRPr lang="pl-PL"/>
          </a:p>
        </c:txPr>
        <c:crossAx val="130088960"/>
        <c:crosses val="autoZero"/>
        <c:crossBetween val="between"/>
      </c:valAx>
    </c:plotArea>
    <c:legend>
      <c:legendPos val="r"/>
      <c:layout>
        <c:manualLayout>
          <c:xMode val="edge"/>
          <c:yMode val="edge"/>
          <c:x val="0.20204314139931936"/>
          <c:y val="0.19095785355741493"/>
          <c:w val="9.9971799299735431E-2"/>
          <c:h val="0.14746514483854728"/>
        </c:manualLayout>
      </c:layout>
      <c:txPr>
        <a:bodyPr/>
        <a:lstStyle/>
        <a:p>
          <a:pPr>
            <a:defRPr sz="800"/>
          </a:pPr>
          <a:endParaRPr lang="pl-PL"/>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0550218722659672"/>
          <c:y val="5.1400554097404488E-2"/>
          <c:w val="0.89449781277340601"/>
          <c:h val="0.50584098862642168"/>
        </c:manualLayout>
      </c:layout>
      <c:barChart>
        <c:barDir val="col"/>
        <c:grouping val="clustered"/>
        <c:ser>
          <c:idx val="0"/>
          <c:order val="0"/>
          <c:tx>
            <c:strRef>
              <c:f>Arkusz2!$G$1</c:f>
              <c:strCache>
                <c:ptCount val="1"/>
                <c:pt idx="0">
                  <c:v>1996</c:v>
                </c:pt>
              </c:strCache>
            </c:strRef>
          </c:tx>
          <c:cat>
            <c:strRef>
              <c:f>Arkusz2!$F$2:$F$21</c:f>
              <c:strCache>
                <c:ptCount val="20"/>
                <c:pt idx="0">
                  <c:v>ITALY</c:v>
                </c:pt>
                <c:pt idx="1">
                  <c:v>GREECE</c:v>
                </c:pt>
                <c:pt idx="2">
                  <c:v>PORTUGAL</c:v>
                </c:pt>
                <c:pt idx="3">
                  <c:v>SPAIN</c:v>
                </c:pt>
                <c:pt idx="4">
                  <c:v>FRANCE</c:v>
                </c:pt>
                <c:pt idx="5">
                  <c:v>UNITED STATES</c:v>
                </c:pt>
                <c:pt idx="6">
                  <c:v>IRELAND</c:v>
                </c:pt>
                <c:pt idx="7">
                  <c:v>GERMANY</c:v>
                </c:pt>
                <c:pt idx="8">
                  <c:v>UNITED KINGDOM</c:v>
                </c:pt>
                <c:pt idx="9">
                  <c:v>ICELAND</c:v>
                </c:pt>
                <c:pt idx="10">
                  <c:v>AUSTRIA</c:v>
                </c:pt>
                <c:pt idx="11">
                  <c:v>BELGIUM</c:v>
                </c:pt>
                <c:pt idx="12">
                  <c:v>AUSTRALIA</c:v>
                </c:pt>
                <c:pt idx="13">
                  <c:v>NORWAY</c:v>
                </c:pt>
                <c:pt idx="14">
                  <c:v>NETHERLANDS</c:v>
                </c:pt>
                <c:pt idx="15">
                  <c:v>CANADA</c:v>
                </c:pt>
                <c:pt idx="16">
                  <c:v>SWITZERLAND</c:v>
                </c:pt>
                <c:pt idx="17">
                  <c:v>SWEDEN</c:v>
                </c:pt>
                <c:pt idx="18">
                  <c:v>DENMARK</c:v>
                </c:pt>
                <c:pt idx="19">
                  <c:v>FINLAND</c:v>
                </c:pt>
              </c:strCache>
            </c:strRef>
          </c:cat>
          <c:val>
            <c:numRef>
              <c:f>Arkusz2!$G$2:$G$21</c:f>
              <c:numCache>
                <c:formatCode>0.00</c:formatCode>
                <c:ptCount val="20"/>
                <c:pt idx="0">
                  <c:v>0.82271343991297297</c:v>
                </c:pt>
                <c:pt idx="1">
                  <c:v>0.81850925414920184</c:v>
                </c:pt>
                <c:pt idx="2">
                  <c:v>1.1540073558827633</c:v>
                </c:pt>
                <c:pt idx="3">
                  <c:v>1.6237171418155516</c:v>
                </c:pt>
                <c:pt idx="4">
                  <c:v>1.4172290724125456</c:v>
                </c:pt>
                <c:pt idx="5">
                  <c:v>1.7124143878734448</c:v>
                </c:pt>
                <c:pt idx="6">
                  <c:v>1.7103086132788679</c:v>
                </c:pt>
                <c:pt idx="7">
                  <c:v>1.8443275342574521</c:v>
                </c:pt>
                <c:pt idx="8">
                  <c:v>1.8792991798297063</c:v>
                </c:pt>
                <c:pt idx="9">
                  <c:v>1.8043327931380555</c:v>
                </c:pt>
                <c:pt idx="10">
                  <c:v>1.8576238413203898</c:v>
                </c:pt>
                <c:pt idx="11">
                  <c:v>1.8147102016471608</c:v>
                </c:pt>
                <c:pt idx="12">
                  <c:v>1.6592867358981522</c:v>
                </c:pt>
                <c:pt idx="13">
                  <c:v>2.0243209386240402</c:v>
                </c:pt>
                <c:pt idx="14">
                  <c:v>2.0096199530695977</c:v>
                </c:pt>
                <c:pt idx="15">
                  <c:v>1.879644596961036</c:v>
                </c:pt>
                <c:pt idx="16">
                  <c:v>1.9122191732602229</c:v>
                </c:pt>
                <c:pt idx="17">
                  <c:v>1.9642227839793684</c:v>
                </c:pt>
                <c:pt idx="18">
                  <c:v>1.9129816989345438</c:v>
                </c:pt>
                <c:pt idx="19">
                  <c:v>1.8448317159838998</c:v>
                </c:pt>
              </c:numCache>
            </c:numRef>
          </c:val>
        </c:ser>
        <c:ser>
          <c:idx val="1"/>
          <c:order val="1"/>
          <c:tx>
            <c:strRef>
              <c:f>Arkusz2!$H$1</c:f>
              <c:strCache>
                <c:ptCount val="1"/>
                <c:pt idx="0">
                  <c:v>2011</c:v>
                </c:pt>
              </c:strCache>
            </c:strRef>
          </c:tx>
          <c:cat>
            <c:strRef>
              <c:f>Arkusz2!$F$2:$F$21</c:f>
              <c:strCache>
                <c:ptCount val="20"/>
                <c:pt idx="0">
                  <c:v>ITALY</c:v>
                </c:pt>
                <c:pt idx="1">
                  <c:v>GREECE</c:v>
                </c:pt>
                <c:pt idx="2">
                  <c:v>PORTUGAL</c:v>
                </c:pt>
                <c:pt idx="3">
                  <c:v>SPAIN</c:v>
                </c:pt>
                <c:pt idx="4">
                  <c:v>FRANCE</c:v>
                </c:pt>
                <c:pt idx="5">
                  <c:v>UNITED STATES</c:v>
                </c:pt>
                <c:pt idx="6">
                  <c:v>IRELAND</c:v>
                </c:pt>
                <c:pt idx="7">
                  <c:v>GERMANY</c:v>
                </c:pt>
                <c:pt idx="8">
                  <c:v>UNITED KINGDOM</c:v>
                </c:pt>
                <c:pt idx="9">
                  <c:v>ICELAND</c:v>
                </c:pt>
                <c:pt idx="10">
                  <c:v>AUSTRIA</c:v>
                </c:pt>
                <c:pt idx="11">
                  <c:v>BELGIUM</c:v>
                </c:pt>
                <c:pt idx="12">
                  <c:v>AUSTRALIA</c:v>
                </c:pt>
                <c:pt idx="13">
                  <c:v>NORWAY</c:v>
                </c:pt>
                <c:pt idx="14">
                  <c:v>NETHERLANDS</c:v>
                </c:pt>
                <c:pt idx="15">
                  <c:v>CANADA</c:v>
                </c:pt>
                <c:pt idx="16">
                  <c:v>SWITZERLAND</c:v>
                </c:pt>
                <c:pt idx="17">
                  <c:v>SWEDEN</c:v>
                </c:pt>
                <c:pt idx="18">
                  <c:v>DENMARK</c:v>
                </c:pt>
                <c:pt idx="19">
                  <c:v>FINLAND</c:v>
                </c:pt>
              </c:strCache>
            </c:strRef>
          </c:cat>
          <c:val>
            <c:numRef>
              <c:f>Arkusz2!$H$2:$H$21</c:f>
              <c:numCache>
                <c:formatCode>0.00</c:formatCode>
                <c:ptCount val="20"/>
                <c:pt idx="0">
                  <c:v>0.44674541432442877</c:v>
                </c:pt>
                <c:pt idx="1">
                  <c:v>0.47802931707074897</c:v>
                </c:pt>
                <c:pt idx="2">
                  <c:v>0.97447972566856134</c:v>
                </c:pt>
                <c:pt idx="3">
                  <c:v>1.0214387221493586</c:v>
                </c:pt>
                <c:pt idx="4">
                  <c:v>1.3641006811815621</c:v>
                </c:pt>
                <c:pt idx="5">
                  <c:v>1.4061311790802782</c:v>
                </c:pt>
                <c:pt idx="6">
                  <c:v>1.4210469150995906</c:v>
                </c:pt>
                <c:pt idx="7">
                  <c:v>1.533603833498786</c:v>
                </c:pt>
                <c:pt idx="8">
                  <c:v>1.5479381610903133</c:v>
                </c:pt>
                <c:pt idx="9">
                  <c:v>1.5668257767138181</c:v>
                </c:pt>
                <c:pt idx="10">
                  <c:v>1.6607071101874504</c:v>
                </c:pt>
                <c:pt idx="11">
                  <c:v>1.6666396040445037</c:v>
                </c:pt>
                <c:pt idx="12">
                  <c:v>1.7394331833914038</c:v>
                </c:pt>
                <c:pt idx="13">
                  <c:v>1.7629312724373738</c:v>
                </c:pt>
                <c:pt idx="14">
                  <c:v>1.7901928702291912</c:v>
                </c:pt>
                <c:pt idx="15">
                  <c:v>1.8493716028136704</c:v>
                </c:pt>
                <c:pt idx="16">
                  <c:v>1.8911495719420039</c:v>
                </c:pt>
                <c:pt idx="17">
                  <c:v>1.9610283913991637</c:v>
                </c:pt>
                <c:pt idx="18">
                  <c:v>2.1701978088777647</c:v>
                </c:pt>
                <c:pt idx="19">
                  <c:v>2.2469639551938707</c:v>
                </c:pt>
              </c:numCache>
            </c:numRef>
          </c:val>
        </c:ser>
        <c:axId val="130098688"/>
        <c:axId val="130100224"/>
      </c:barChart>
      <c:catAx>
        <c:axId val="130098688"/>
        <c:scaling>
          <c:orientation val="minMax"/>
        </c:scaling>
        <c:axPos val="b"/>
        <c:tickLblPos val="nextTo"/>
        <c:txPr>
          <a:bodyPr/>
          <a:lstStyle/>
          <a:p>
            <a:pPr>
              <a:defRPr sz="800"/>
            </a:pPr>
            <a:endParaRPr lang="pl-PL"/>
          </a:p>
        </c:txPr>
        <c:crossAx val="130100224"/>
        <c:crosses val="autoZero"/>
        <c:auto val="1"/>
        <c:lblAlgn val="ctr"/>
        <c:lblOffset val="100"/>
      </c:catAx>
      <c:valAx>
        <c:axId val="130100224"/>
        <c:scaling>
          <c:orientation val="minMax"/>
        </c:scaling>
        <c:axPos val="l"/>
        <c:majorGridlines/>
        <c:numFmt formatCode="0.00" sourceLinked="1"/>
        <c:tickLblPos val="nextTo"/>
        <c:txPr>
          <a:bodyPr/>
          <a:lstStyle/>
          <a:p>
            <a:pPr>
              <a:defRPr sz="800"/>
            </a:pPr>
            <a:endParaRPr lang="pl-PL"/>
          </a:p>
        </c:txPr>
        <c:crossAx val="130098688"/>
        <c:crosses val="autoZero"/>
        <c:crossBetween val="between"/>
      </c:valAx>
    </c:plotArea>
    <c:legend>
      <c:legendPos val="r"/>
      <c:layout>
        <c:manualLayout>
          <c:xMode val="edge"/>
          <c:yMode val="edge"/>
          <c:x val="0.13537642169728786"/>
          <c:y val="6.4430956547098434E-2"/>
          <c:w val="0.10351246719160105"/>
          <c:h val="0.16743438320210077"/>
        </c:manualLayout>
      </c:layout>
      <c:txPr>
        <a:bodyPr/>
        <a:lstStyle/>
        <a:p>
          <a:pPr>
            <a:defRPr sz="800"/>
          </a:pPr>
          <a:endParaRPr lang="pl-PL"/>
        </a:p>
      </c:txPr>
    </c:legend>
    <c:plotVisOnly val="1"/>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4512</Words>
  <Characters>27077</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2</cp:revision>
  <dcterms:created xsi:type="dcterms:W3CDTF">2013-06-15T21:05:00Z</dcterms:created>
  <dcterms:modified xsi:type="dcterms:W3CDTF">2013-06-15T21:05:00Z</dcterms:modified>
</cp:coreProperties>
</file>